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30. Работа с возражениями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Objections handling, работа с возражениями</w:t>
      </w:r>
    </w:p>
    <w:p/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Документ помогает продавать технологию без завышенных обещаний и без ухода в техническое внедрение.</w:t>
      </w:r>
    </w:p>
    <w:p>
      <w:pPr>
        <w:pStyle w:val="Heading1"/>
      </w:pPr>
      <w:r>
        <w:t>2. Типовые возражения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Возражение</w:t>
            </w:r>
          </w:p>
        </w:tc>
        <w:tc>
          <w:tcPr>
            <w:tcW w:type="dxa" w:w="3024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Что стоит за возражением</w:t>
            </w:r>
          </w:p>
        </w:tc>
        <w:tc>
          <w:tcPr>
            <w:tcW w:type="dxa" w:w="432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Ответ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Мы уже внедряем ИИ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путает активность и управляемый переход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Отлично. Тогда Диагностика покажет, где есть владельцы эффекта, данные, процесс и условия остановки.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Нам нужен сразу инструмент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Ожидание простого решения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Инструмент без владельца эффекта ускоряет хаос. Сначала проверяем, какое решение он должен улучшить.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Почему так дорого за диагностику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не видит цену ошибки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 дешевле, чем запуск пилотов без владельца эффекта и данных.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Дайте гарантию экономии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хочет снять риск заранее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 данных можно гарантировать только процесс проверки, а не цифру результата.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Мы сами соберем список кейсов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хочет заменить методологию списком идей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Список идей не является активным набором. Вариант применения ИИ должен иметь владельца, данные, риск и условие остановки.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Зачем C-level, руководители высшего уровня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Попытка отдать ИИ в функцию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ИИ меняет решения, ответственность, деньги и риски. Поэтому тема должна быть в управленческом контуре.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Почему не больше пяти вариантов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Ожидание масштаба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Больше пяти активных вариантов снижает управляемость и размывает контроль результата.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Почему вы можете сказать No-go, не запускать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Страх потерять проект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Потому что честная остановка дешевле, чем красивый запуск без условий готовности.</w:t>
            </w:r>
          </w:p>
        </w:tc>
      </w:tr>
    </w:tbl>
    <w:p/>
    <w:p>
      <w:pPr>
        <w:pStyle w:val="Heading1"/>
      </w:pPr>
      <w:r>
        <w:t>3. Запреты в ответах</w:t>
      </w:r>
    </w:p>
    <w:p>
      <w:pPr>
        <w:pStyle w:val="ListBullet"/>
      </w:pPr>
      <w:r>
        <w:rPr>
          <w:rFonts w:ascii="Calibri" w:hAnsi="Calibri"/>
          <w:sz w:val="20"/>
        </w:rPr>
        <w:t>Не спорить с клиентом про моду на ИИ.</w:t>
      </w:r>
    </w:p>
    <w:p>
      <w:pPr>
        <w:pStyle w:val="ListBullet"/>
      </w:pPr>
      <w:r>
        <w:rPr>
          <w:rFonts w:ascii="Calibri" w:hAnsi="Calibri"/>
          <w:sz w:val="20"/>
        </w:rPr>
        <w:t>Не обещать эффект без Диагностики.</w:t>
      </w:r>
    </w:p>
    <w:p>
      <w:pPr>
        <w:pStyle w:val="ListBullet"/>
      </w:pPr>
      <w:r>
        <w:rPr>
          <w:rFonts w:ascii="Calibri" w:hAnsi="Calibri"/>
          <w:sz w:val="20"/>
        </w:rPr>
        <w:t>Не продавать техническое внедрение, если запрос требует разработки.</w:t>
      </w:r>
    </w:p>
    <w:p>
      <w:pPr>
        <w:pStyle w:val="ListBullet"/>
      </w:pPr>
      <w:r>
        <w:rPr>
          <w:rFonts w:ascii="Calibri" w:hAnsi="Calibri"/>
          <w:sz w:val="20"/>
        </w:rPr>
        <w:t>Не превращать технологию в обучение инструментам.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