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25. Заполненный пример положительного пути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Демонстрационный комплект по кейсу 11: дебиторка</w:t>
      </w:r>
    </w:p>
    <w:p/>
    <w:p>
      <w:pPr>
        <w:pStyle w:val="Heading1"/>
      </w:pPr>
      <w:r>
        <w:t>1. Назначение примера</w:t>
      </w:r>
    </w:p>
    <w:p>
      <w:r>
        <w:rPr>
          <w:rFonts w:ascii="Calibri" w:hAnsi="Calibri"/>
          <w:b w:val="0"/>
          <w:sz w:val="21"/>
        </w:rPr>
        <w:t>Пример показывает, как технология проходит полный путь от Диагностики до Сопровождения контроля. Это не обещание финансового эффекта, а образец документального следа.</w:t>
      </w:r>
    </w:p>
    <w:p>
      <w:pPr>
        <w:pStyle w:val="Heading1"/>
      </w:pPr>
      <w:r>
        <w:t>2. Карточка первичного запроса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Заполненный пример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Клиентская ситуация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Финансы видят прогноз вероятной просрочки, но продажи и склад продолжают спорить об отгрузке.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Цена ошибки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Рост просрочки, заморозка оборотных средств, конфликт между продажами и финансами.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Инициатор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 и финансовый директор.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Ожидание от ИИ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просто прогноз, а управляемое решение по лимитам и исключениям.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Граница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Технология не заменяет кредитную политику и не внедряет ИТ-систему.</w:t>
            </w:r>
          </w:p>
        </w:tc>
      </w:tr>
    </w:tbl>
    <w:p/>
    <w:p>
      <w:pPr>
        <w:pStyle w:val="Heading1"/>
      </w:pPr>
      <w:r>
        <w:t>3. Анкета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Ось</w:t>
            </w:r>
          </w:p>
        </w:tc>
        <w:tc>
          <w:tcPr>
            <w:tcW w:type="dxa" w:w="60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Факт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Оценка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Мандат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 подтвердил право остановки спорной отгрузки.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Зеленый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Финансовый директор отвечает за дисциплину дебиторки.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Зеленый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Данные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история оплат, договоренности, отклонения, но нужны правила качества.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Желтый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Процесс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Точка решения: разрешить, ограничить или остановить отгрузку.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Зеленый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Условия остановки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Отгрузка не проходит без владельца исключения.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Зеленый</w:t>
            </w:r>
          </w:p>
        </w:tc>
      </w:tr>
    </w:tbl>
    <w:p/>
    <w:p>
      <w:pPr>
        <w:pStyle w:val="Heading1"/>
      </w:pPr>
      <w:r>
        <w:t>4. Вердикт Диагностики</w:t>
      </w:r>
    </w:p>
    <w:p>
      <w:r>
        <w:rPr>
          <w:rFonts w:ascii="Calibri" w:hAnsi="Calibri"/>
          <w:b w:val="0"/>
          <w:sz w:val="21"/>
        </w:rPr>
        <w:t>Вердикт: Conditional Go, идти при условиях.</w:t>
      </w:r>
    </w:p>
    <w:p>
      <w:pPr>
        <w:pStyle w:val="ListBullet"/>
      </w:pPr>
      <w:r>
        <w:rPr>
          <w:rFonts w:ascii="Calibri" w:hAnsi="Calibri"/>
          <w:sz w:val="20"/>
        </w:rPr>
        <w:t>До Сессии решений зафиксировать владельца качества данных.</w:t>
      </w:r>
    </w:p>
    <w:p>
      <w:pPr>
        <w:pStyle w:val="ListBullet"/>
      </w:pPr>
      <w:r>
        <w:rPr>
          <w:rFonts w:ascii="Calibri" w:hAnsi="Calibri"/>
          <w:sz w:val="20"/>
        </w:rPr>
        <w:t>Определить перечень исключений, которые нельзя отдавать ИИ.</w:t>
      </w:r>
    </w:p>
    <w:p>
      <w:pPr>
        <w:pStyle w:val="ListBullet"/>
      </w:pPr>
      <w:r>
        <w:rPr>
          <w:rFonts w:ascii="Calibri" w:hAnsi="Calibri"/>
          <w:sz w:val="20"/>
        </w:rPr>
        <w:t>Подтвердить право финансового директора блокировать спорную отгрузку до решения собственника.</w:t>
      </w:r>
    </w:p>
    <w:p>
      <w:pPr>
        <w:pStyle w:val="Heading1"/>
      </w:pPr>
      <w:r>
        <w:t>5. Активный набор Сессии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024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Вариант применения ИИ</w:t>
            </w:r>
          </w:p>
        </w:tc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Владелец эффекта</w:t>
            </w:r>
          </w:p>
        </w:tc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Условие запуска</w:t>
            </w:r>
          </w:p>
        </w:tc>
        <w:tc>
          <w:tcPr>
            <w:tcW w:type="dxa" w:w="2736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Условие остановки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Ранний сигнал риска просрочки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Финансовый директор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Данные по оплатам очищены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Сигнал не совпадает с фактами два периода подряд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Подготовка решения по лимиту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Финансовый директор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правила лимита и исключений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Решение принимается без владельца исключения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спорной отгрузки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Генеральный директор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маршрут эскалации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не приводит к решению</w:t>
            </w:r>
          </w:p>
        </w:tc>
      </w:tr>
    </w:tbl>
    <w:p/>
    <w:p>
      <w:pPr>
        <w:pStyle w:val="Heading1"/>
      </w:pPr>
      <w:r>
        <w:t>6. План Спринта</w:t>
      </w:r>
    </w:p>
    <w:p>
      <w:pPr>
        <w:pStyle w:val="ListNumber"/>
      </w:pPr>
      <w:r>
        <w:rPr>
          <w:rFonts w:ascii="Calibri" w:hAnsi="Calibri"/>
          <w:sz w:val="20"/>
        </w:rPr>
        <w:t>Собрать базовую линию: просрочка, исключения, спорные отгрузки, сроки реакции.</w:t>
      </w:r>
    </w:p>
    <w:p>
      <w:pPr>
        <w:pStyle w:val="ListNumber"/>
      </w:pPr>
      <w:r>
        <w:rPr>
          <w:rFonts w:ascii="Calibri" w:hAnsi="Calibri"/>
          <w:sz w:val="20"/>
        </w:rPr>
        <w:t>Согласовать правила лимитов и перечень исключений.</w:t>
      </w:r>
    </w:p>
    <w:p>
      <w:pPr>
        <w:pStyle w:val="ListNumber"/>
      </w:pPr>
      <w:r>
        <w:rPr>
          <w:rFonts w:ascii="Calibri" w:hAnsi="Calibri"/>
          <w:sz w:val="20"/>
        </w:rPr>
        <w:t>Запустить тестовый контур на ограниченном сегменте клиентов.</w:t>
      </w:r>
    </w:p>
    <w:p>
      <w:pPr>
        <w:pStyle w:val="ListNumber"/>
      </w:pPr>
      <w:r>
        <w:rPr>
          <w:rFonts w:ascii="Calibri" w:hAnsi="Calibri"/>
          <w:sz w:val="20"/>
        </w:rPr>
        <w:t>Вести журнал отклонений и решений.</w:t>
      </w:r>
    </w:p>
    <w:p>
      <w:pPr>
        <w:pStyle w:val="ListNumber"/>
      </w:pPr>
      <w:r>
        <w:rPr>
          <w:rFonts w:ascii="Calibri" w:hAnsi="Calibri"/>
          <w:sz w:val="20"/>
        </w:rPr>
        <w:t>Подготовить промежуточный отчет по фактам, а не по ожиданиям.</w:t>
      </w:r>
    </w:p>
    <w:p>
      <w:pPr>
        <w:pStyle w:val="Heading1"/>
      </w:pPr>
      <w:r>
        <w:t>7. Сопровождение контроля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Проверка</w:t>
            </w:r>
          </w:p>
        </w:tc>
        <w:tc>
          <w:tcPr>
            <w:tcW w:type="dxa" w:w="432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Факт</w:t>
            </w:r>
          </w:p>
        </w:tc>
        <w:tc>
          <w:tcPr>
            <w:tcW w:type="dxa" w:w="24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Решение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ли владелец исключения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Да, исключение фиксируется финансовым директором или генеральным директором.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Продолжить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Удерживается ли лимит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 спорным клиентам лимит стал предметом решения до отгрузки.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Продолжить с корректировкой правил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ли неконтролируемый рост списка вариантов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Нет, активный набор удержан в трех вариантах.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расширять без новой Сессии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