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color w:val="666666"/>
          <w:sz w:val="18"/>
        </w:rPr>
        <w:t>C-Level Insight | AI-First Переход</w:t>
      </w:r>
    </w:p>
    <w:p>
      <w:pPr>
        <w:jc w:val="center"/>
      </w:pPr>
      <w:r>
        <w:rPr>
          <w:rFonts w:ascii="Calibri" w:hAnsi="Calibri"/>
          <w:b/>
          <w:color w:val="1F1F1F"/>
          <w:sz w:val="40"/>
        </w:rPr>
        <w:t>21. Карта комплекта и логика использования</w:t>
      </w:r>
    </w:p>
    <w:p>
      <w:pPr>
        <w:jc w:val="center"/>
      </w:pPr>
      <w:r>
        <w:rPr>
          <w:rFonts w:ascii="Calibri" w:hAnsi="Calibri"/>
          <w:color w:val="666666"/>
          <w:sz w:val="20"/>
        </w:rPr>
        <w:t>Навигационный документ v3</w:t>
      </w:r>
    </w:p>
    <w:p/>
    <w:p>
      <w:pPr>
        <w:pStyle w:val="Heading1"/>
      </w:pPr>
      <w:r>
        <w:t>1. Роль документа</w:t>
      </w:r>
    </w:p>
    <w:p>
      <w:r>
        <w:rPr>
          <w:rFonts w:ascii="Calibri" w:hAnsi="Calibri"/>
          <w:b w:val="0"/>
          <w:sz w:val="21"/>
        </w:rPr>
        <w:t>Этот документ является входной картой комплекта. Он не заменяет основной документ технологии, а объясняет, какой файл открыть, кому, когда и с какой целью.</w:t>
      </w:r>
    </w:p>
    <w:p>
      <w:pPr>
        <w:pStyle w:val="Heading1"/>
      </w:pPr>
      <w:r>
        <w:t>2. Быстрый маршрут чтения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016"/>
            <w:vAlign w:val="center"/>
            <w:shd w:fill="2E74B5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Роль</w:t>
            </w:r>
          </w:p>
        </w:tc>
        <w:tc>
          <w:tcPr>
            <w:tcW w:type="dxa" w:w="2880"/>
            <w:vAlign w:val="center"/>
            <w:shd w:fill="2E74B5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Что читать сначала</w:t>
            </w:r>
          </w:p>
        </w:tc>
        <w:tc>
          <w:tcPr>
            <w:tcW w:type="dxa" w:w="2880"/>
            <w:vAlign w:val="center"/>
            <w:shd w:fill="2E74B5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Что использовать в работе</w:t>
            </w:r>
          </w:p>
        </w:tc>
        <w:tc>
          <w:tcPr>
            <w:tcW w:type="dxa" w:w="2448"/>
            <w:vAlign w:val="center"/>
            <w:shd w:fill="2E74B5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Что не читать без необходимости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Собственник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19 оффер; 00 основной документ; 18 продукты и цены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03 вердикт; 05 активный набор; 10-12 контроль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Рабочие книги без консультанта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Генеральный директор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00 основной документ; 21 карта комплекта; 23 операционная карта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01-13 по этапам проекта; 24 модель готовности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Архивные черновики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Консультант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00, 14, 15, 21, 22, 23, 24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Все формы 01-13; 16 контроль качества; 27 панель эффекта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Коммерческие материалы как методику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Клиентская команда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Документы конкретного этапа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Формы и протоколы, где команда дает факты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Внутренние методические документы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Коммерческий контакт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19 оффер; 20 презентация; 18 цены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29 предложение; 30 возражения; 31 выбор первого продукта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Рабочие книги и матрицы</w:t>
            </w:r>
          </w:p>
        </w:tc>
      </w:tr>
    </w:tbl>
    <w:p/>
    <w:p>
      <w:pPr>
        <w:pStyle w:val="Heading1"/>
      </w:pPr>
      <w:r>
        <w:t>3. Логика этапов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016"/>
            <w:vAlign w:val="center"/>
            <w:shd w:fill="2E74B5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Этап</w:t>
            </w:r>
          </w:p>
        </w:tc>
        <w:tc>
          <w:tcPr>
            <w:tcW w:type="dxa" w:w="3168"/>
            <w:vAlign w:val="center"/>
            <w:shd w:fill="2E74B5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Главный вопрос</w:t>
            </w:r>
          </w:p>
        </w:tc>
        <w:tc>
          <w:tcPr>
            <w:tcW w:type="dxa" w:w="2016"/>
            <w:vAlign w:val="center"/>
            <w:shd w:fill="2E74B5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Документы</w:t>
            </w:r>
          </w:p>
        </w:tc>
        <w:tc>
          <w:tcPr>
            <w:tcW w:type="dxa" w:w="3168"/>
            <w:vAlign w:val="center"/>
            <w:shd w:fill="2E74B5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Результат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Диагностика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Можно ли вообще входить в AI-First Переход?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01-04, 24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Вердикт: идти, идти при условиях, отложить или не запускать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Сессия решений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Какие варианты применения ИИ допустимы?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05-06, 23, 24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Активный набор не более 5 вариантов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Спринт реализации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Как реализовать ограниченный набор без потери управляемости?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07-09, 27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План, действия, отклонения, промежуточный вывод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Сопровождение контроля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Удерживается ли результат и что делать дальше?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10-13, 27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Продолжить, изменить, остановить, масштабировать или вернуться назад</w:t>
            </w:r>
          </w:p>
        </w:tc>
      </w:tr>
    </w:tbl>
    <w:p/>
    <w:p>
      <w:pPr>
        <w:pStyle w:val="Heading1"/>
      </w:pPr>
      <w:r>
        <w:t>4. Обязательные запреты</w:t>
      </w:r>
    </w:p>
    <w:p>
      <w:pPr>
        <w:pStyle w:val="ListBullet"/>
      </w:pPr>
      <w:r>
        <w:rPr>
          <w:rFonts w:ascii="Calibri" w:hAnsi="Calibri"/>
          <w:sz w:val="20"/>
        </w:rPr>
        <w:t>Не обещать финансовый эффект без данных клиента и владельца эффекта.</w:t>
      </w:r>
    </w:p>
    <w:p>
      <w:pPr>
        <w:pStyle w:val="ListBullet"/>
      </w:pPr>
      <w:r>
        <w:rPr>
          <w:rFonts w:ascii="Calibri" w:hAnsi="Calibri"/>
          <w:sz w:val="20"/>
        </w:rPr>
        <w:t>Не запускать вариант применения ИИ без владельца данных, процесса и условия остановки.</w:t>
      </w:r>
    </w:p>
    <w:p>
      <w:pPr>
        <w:pStyle w:val="ListBullet"/>
      </w:pPr>
      <w:r>
        <w:rPr>
          <w:rFonts w:ascii="Calibri" w:hAnsi="Calibri"/>
          <w:sz w:val="20"/>
        </w:rPr>
        <w:t>Не расширять активный набор выше 5 вариантов применения ИИ.</w:t>
      </w:r>
    </w:p>
    <w:p>
      <w:pPr>
        <w:pStyle w:val="ListBullet"/>
      </w:pPr>
      <w:r>
        <w:rPr>
          <w:rFonts w:ascii="Calibri" w:hAnsi="Calibri"/>
          <w:sz w:val="20"/>
        </w:rPr>
        <w:t>Не подменять технологию обучением промптам или внедрением инструмента.</w:t>
      </w:r>
    </w:p>
    <w:p>
      <w:pPr>
        <w:pStyle w:val="ListBullet"/>
      </w:pPr>
      <w:r>
        <w:rPr>
          <w:rFonts w:ascii="Calibri" w:hAnsi="Calibri"/>
          <w:sz w:val="20"/>
        </w:rPr>
        <w:t>Не смешивать вариант применения ИИ и кейс.</w:t>
      </w:r>
    </w:p>
    <w:p>
      <w:pPr>
        <w:pStyle w:val="ListBullet"/>
      </w:pPr>
      <w:r>
        <w:rPr>
          <w:rFonts w:ascii="Calibri" w:hAnsi="Calibri"/>
          <w:sz w:val="20"/>
        </w:rPr>
        <w:t>Не использовать часть III книги 3 как основание продуктов и пайплайнов.</w:t>
      </w:r>
    </w:p>
    <w:p>
      <w:pPr>
        <w:pStyle w:val="Heading1"/>
      </w:pPr>
      <w:r>
        <w:t>5. Как использовать кейсы</w:t>
      </w:r>
    </w:p>
    <w:p>
      <w:r>
        <w:rPr>
          <w:rFonts w:ascii="Calibri" w:hAnsi="Calibri"/>
          <w:b w:val="0"/>
          <w:sz w:val="21"/>
        </w:rPr>
        <w:t>Кейсы не доказывают универсальный эффект. Они показывают типовую управленческую ситуацию и помогают выбрать, какой продукт продавать или проводить.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600"/>
            <w:vAlign w:val="center"/>
            <w:shd w:fill="2E74B5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Задача</w:t>
            </w:r>
          </w:p>
        </w:tc>
        <w:tc>
          <w:tcPr>
            <w:tcW w:type="dxa" w:w="5760"/>
            <w:vAlign w:val="center"/>
            <w:shd w:fill="2E74B5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Подходящие кейсы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Показать право на остановку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Кейс 01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Показать управленческую проблему за скоростью ИИ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Кейсы 02, 03, 04, 12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Показать роль данных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Кейсы 05, 11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Показать роль владельца решения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Кейсы 07, 09, 10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Показать контроль после внедрения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Кейсы 03, 11, 12</w:t>
            </w:r>
          </w:p>
        </w:tc>
      </w:tr>
    </w:tbl>
    <w:p/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