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4E79"/>
          <w:sz w:val="44"/>
        </w:rPr>
        <w:t>AI переход: навигатор консультанта по 4 продуктам</w:t>
      </w:r>
    </w:p>
    <w:p>
      <w:r>
        <w:rPr>
          <w:color w:val="5A5A5A"/>
          <w:sz w:val="22"/>
        </w:rPr>
        <w:t>Рабочий документ P1B для проведения Диагностики, Сессии решений, Спринта реализации и Сопровождения контроля без устного восстановления автором.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r>
              <w:rPr>
                <w:b/>
              </w:rPr>
              <w:t>Статус</w:t>
              <w:br/>
            </w:r>
            <w:r>
              <w:t>P1B / релизная проводимость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r>
              <w:rPr>
                <w:b/>
              </w:rPr>
              <w:t>Дата</w:t>
              <w:br/>
            </w:r>
            <w:r>
              <w:t>28 июля 2026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r>
              <w:rPr>
                <w:b/>
              </w:rPr>
              <w:t>Ядро</w:t>
              <w:br/>
            </w:r>
            <w:r>
              <w:t>сначала управляемость, потом ИИ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r>
              <w:rPr>
                <w:b/>
              </w:rPr>
              <w:t>Граница</w:t>
              <w:br/>
            </w:r>
            <w:r>
              <w:t>не переписывать технологию, не продавать инструменты вместо управляемости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6EF"/>
          </w:tcPr>
          <w:p>
            <w:r>
              <w:rPr>
                <w:b/>
              </w:rPr>
              <w:t xml:space="preserve">Правило навигатора. </w:t>
            </w:r>
            <w:r>
              <w:t>Консультант не продает ИИ-инструмент и не обещает эффект до данных. Он ведет клиента через управленческие решения: готовность, активный набор, ограниченная реализация, контроль фактов.</w:t>
            </w:r>
          </w:p>
        </w:tc>
      </w:tr>
    </w:tbl>
    <w:p>
      <w:pPr>
        <w:pStyle w:val="Heading1"/>
      </w:pPr>
      <w:r>
        <w:t>1. Как читать навигатор</w:t>
      </w:r>
    </w:p>
    <w:p>
      <w:pPr>
        <w:pStyle w:val="ListBullet"/>
      </w:pPr>
      <w:r>
        <w:t>Начинать с главного документа технологии и карты комплекта.</w:t>
      </w:r>
    </w:p>
    <w:p>
      <w:pPr>
        <w:pStyle w:val="ListBullet"/>
      </w:pPr>
      <w:r>
        <w:t>Для нового клиента входом считать Диагностику.</w:t>
      </w:r>
    </w:p>
    <w:p>
      <w:pPr>
        <w:pStyle w:val="ListBullet"/>
      </w:pPr>
      <w:r>
        <w:t>Не переходить к следующему продукту без документального выхода предыдущего.</w:t>
      </w:r>
    </w:p>
    <w:p>
      <w:pPr>
        <w:pStyle w:val="ListBullet"/>
      </w:pPr>
      <w:r>
        <w:t>Не расширять активный набор выше 5 вариантов применения ИИ.</w:t>
      </w:r>
    </w:p>
    <w:p>
      <w:pPr>
        <w:pStyle w:val="ListBullet"/>
      </w:pPr>
      <w:r>
        <w:t>Не подменять AI переход обучением промптам, внедрением ChatGPT, автоматизацией или техническим проектом.</w:t>
      </w:r>
    </w:p>
    <w:p>
      <w:pPr>
        <w:pStyle w:val="Heading1"/>
      </w:pPr>
      <w:r>
        <w:t>2. Карта 4 продуктов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  <w:cantSplit/>
        </w:trPr>
        <w:tc>
          <w:tcPr>
            <w:tcW w:type="dxa" w:w="141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Продукт</w:t>
            </w:r>
          </w:p>
        </w:tc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Главный вопрос</w:t>
            </w:r>
          </w:p>
        </w:tc>
        <w:tc>
          <w:tcPr>
            <w:tcW w:type="dxa" w:w="147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Вход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Работа</w:t>
            </w:r>
          </w:p>
        </w:tc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Выход</w:t>
            </w:r>
          </w:p>
        </w:tc>
        <w:tc>
          <w:tcPr>
            <w:tcW w:type="dxa" w:w="215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Стоп-линия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Диагностика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Можно ли компании входить в AI переход сейчас?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Запрос, мандат, доступ к первому управленческому уровню.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Интервью, анкета, модель оценки, стоп-факторы, рабочая книга.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Протокол вердикта: идти, идти при условиях, отложить или не запускать.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Нет мандата, данных, владельцев, права остановки или клиент не принимает честный No-go, не запускать.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Сессия решений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Какие варианты применения ИИ допустимы и управляемы?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Вердикт Диагностики и закрытые условия.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Разбор вариантов, владельцев, данных, рисков, экономики, условий запуска и остановки.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Активный набор не более 5 вариантов и протокол активного набора.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Больше 5 вариантов, нет владельца эффекта, данных, процесса, риска или условия остановки.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Спринт реализации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Как реализовать выбранные варианты без потери управляемости?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Активный набор с владельцами и условиями.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План действий, зависимости, отклонения, управленческие решения.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Промежуточный отчет: продолжить, изменить или остановить.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Спринт превращается в техническую разработку или расширяет активный набор.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Сопровождение контроля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Удерживается ли результат и что делать дальше?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Факты Спринта, отклонения, промежуточный вывод.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Сбор фактов, корректировки, обновленные риски, решение по каждому варианту.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Отчет контроля, протокол остановки или продолжения, решение о следующем цикле.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Нет фактов контроля, нет предмета контроля или масштабирование хотят сделать без устойчивости.</w:t>
            </w:r>
          </w:p>
        </w:tc>
      </w:tr>
    </w:tbl>
    <w:p>
      <w:pPr>
        <w:pStyle w:val="Heading1"/>
      </w:pPr>
      <w:r>
        <w:t>3. Переходы между продуктами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Переход</w:t>
            </w:r>
          </w:p>
        </w:tc>
        <w:tc>
          <w:tcPr>
            <w:tcW w:type="dxa" w:w="289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Что должно быть</w:t>
            </w:r>
          </w:p>
        </w:tc>
        <w:tc>
          <w:tcPr>
            <w:tcW w:type="dxa" w:w="243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Что запрещает переход</w:t>
            </w:r>
          </w:p>
        </w:tc>
        <w:tc>
          <w:tcPr>
            <w:tcW w:type="dxa" w:w="181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Документ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Диагностика -&gt; Сессия решений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Вердикт идти или идти при условиях; критические условия закрыты.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Не запускать, отложить, отсутствие владельцев, данных или права остановки.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Протокол вердикта готовности.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Сессия решений -&gt; Спринт реализации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Активный набор не более 5 вариантов; по каждому варианту есть владельцы, данные, процесс, риск и условия остановки.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Вариант не входит в активный набор или не имеет управленческого владельца.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Протокол активного набора.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Спринт реализации -&gt; Сопровождение контроля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Есть факты, отклонения, управленческие решения и предмет контроля.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Нет фактов; работа стала технической настройкой без управленческого результата.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Промежуточный отчет.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Сопровождение -&gt; следующий цикл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Есть решение продолжить, изменить, остановить, масштабировать или вернуться назад.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Масштабирование без устойчивости; новые риски не разобраны.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Отчет контроля, протокол остановки или продолжения, решение о следующем цикле.</w:t>
            </w:r>
          </w:p>
        </w:tc>
      </w:tr>
    </w:tbl>
    <w:p>
      <w:pPr>
        <w:pStyle w:val="Heading1"/>
      </w:pPr>
      <w:r>
        <w:t>4. Минимальный комплект консультанта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Продукт</w:t>
            </w:r>
          </w:p>
        </w:tc>
        <w:tc>
          <w:tcPr>
            <w:tcW w:type="dxa" w:w="368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Документы</w:t>
            </w:r>
          </w:p>
        </w:tc>
        <w:tc>
          <w:tcPr>
            <w:tcW w:type="dxa" w:w="368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Таблицы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Диагностика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Карточка первичного запроса; анкета готовности; протокол вердикта; сценарии встреч; паспорт продукта.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Модель оценки готовности и применимости; рабочая книга; чеклист проведения и приемки.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Сессия решений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Протокол активного набора; сценарии встреч; паспорт продукта.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Модель оценки; операционная карта; рабочая книга; чеклист проведения и приемки.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Спринт реализации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План реализации; промежуточный отчет; сценарии встреч; паспорт продукта.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Карта эффекта и финансовая панель; рабочая книга; чеклист проведения и приемки.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Сопровождение контроля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Отчет контроля; протокол остановки или продолжения; решение о следующем цикле; сценарии встреч; паспорт продукта.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Карта эффекта и финансовая панель; рабочая книга; чеклист проведения и приемки.</w:t>
            </w:r>
          </w:p>
        </w:tc>
      </w:tr>
    </w:tbl>
    <w:p>
      <w:pPr>
        <w:pStyle w:val="Heading1"/>
      </w:pPr>
      <w:r>
        <w:t>5. Контроль качества по 14A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55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6520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Как применять в работе консультанта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Стандарт именования</w:t>
            </w:r>
          </w:p>
        </w:tc>
        <w:tc>
          <w:tcPr>
            <w:tcW w:type="dxa" w:w="6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Использовать только активные файлы AI_Переход_... из папки 30 Документация и продуктовых подпапок.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Языковой стандарт</w:t>
            </w:r>
          </w:p>
        </w:tc>
        <w:tc>
          <w:tcPr>
            <w:tcW w:type="dxa" w:w="6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Публично говорить AI переход; технологически допустимо AI-First Переход; английские термины пояснять по-русски.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SSOT</w:t>
            </w:r>
          </w:p>
        </w:tc>
        <w:tc>
          <w:tcPr>
            <w:tcW w:type="dxa" w:w="6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Главный документ, карта комплекта, регламент, индекс, маркировка, цены и кейсы остаются источниками правды.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Ядро не переписывать</w:t>
            </w:r>
          </w:p>
        </w:tc>
        <w:tc>
          <w:tcPr>
            <w:tcW w:type="dxa" w:w="6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Любое упрощение для клиента сверять с формулой: сначала управляемость, потом ИИ.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Claims и цифры</w:t>
            </w:r>
          </w:p>
        </w:tc>
        <w:tc>
          <w:tcPr>
            <w:tcW w:type="dxa" w:w="6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Финансовый эффект обсуждать только после данных, владельца эффекта и проверки; цены брать из документа продуктов, сроков и цен.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Запрет подмены</w:t>
            </w:r>
          </w:p>
        </w:tc>
        <w:tc>
          <w:tcPr>
            <w:tcW w:type="dxa" w:w="6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Не продавать обучение промптам, внедрение ChatGPT, автоматизацию или техническую разработку как AI переход.</w:t>
            </w:r>
          </w:p>
        </w:tc>
      </w:tr>
    </w:tbl>
    <w:p>
      <w:pPr>
        <w:pStyle w:val="Heading1"/>
      </w:pPr>
      <w:r>
        <w:t>6. Типовые ошибки консультанта</w:t>
      </w:r>
    </w:p>
    <w:p>
      <w:pPr>
        <w:pStyle w:val="ListBullet"/>
      </w:pPr>
      <w:r>
        <w:t>Переходить к Сессии без Диагностики у нового клиента.</w:t>
      </w:r>
    </w:p>
    <w:p>
      <w:pPr>
        <w:pStyle w:val="ListBullet"/>
      </w:pPr>
      <w:r>
        <w:t>Смягчать No-go, не запускать, чтобы не потерять продажу.</w:t>
      </w:r>
    </w:p>
    <w:p>
      <w:pPr>
        <w:pStyle w:val="ListBullet"/>
      </w:pPr>
      <w:r>
        <w:t>Оставлять в активном наборе больше 5 вариантов ради политического компромисса.</w:t>
      </w:r>
    </w:p>
    <w:p>
      <w:pPr>
        <w:pStyle w:val="ListBullet"/>
      </w:pPr>
      <w:r>
        <w:t>Принимать вариант без владельца эффекта или владельца данных.</w:t>
      </w:r>
    </w:p>
    <w:p>
      <w:pPr>
        <w:pStyle w:val="ListBullet"/>
      </w:pPr>
      <w:r>
        <w:t>Считать технический запуск завершением управленческого изменения.</w:t>
      </w:r>
    </w:p>
    <w:p>
      <w:pPr>
        <w:pStyle w:val="ListBullet"/>
      </w:pPr>
      <w:r>
        <w:t>Масштабировать до проверки фактов и устойчивости результата.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6EF"/>
          </w:tcPr>
          <w:p>
            <w:r>
              <w:rPr>
                <w:b/>
              </w:rPr>
              <w:t xml:space="preserve">Финальный критерий P1B. </w:t>
            </w:r>
            <w:r>
              <w:t>Если консультант может провести 4 продукта по активным файлам, получить документальный след и удержать переходы между этапами, комплект считается проводимым. На текущем релизе критических блокеров проводимости не выявлено.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AI переход | навигатор консультанта по 4 продуктам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5C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