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color w:val="666666"/>
          <w:sz w:val="18"/>
        </w:rPr>
        <w:t>C-Level Insight | AI-First Переход</w:t>
      </w:r>
    </w:p>
    <w:p>
      <w:pPr>
        <w:jc w:val="center"/>
      </w:pPr>
      <w:r>
        <w:rPr>
          <w:rFonts w:ascii="Calibri" w:hAnsi="Calibri"/>
          <w:b/>
          <w:color w:val="1F1F1F"/>
          <w:sz w:val="40"/>
        </w:rPr>
        <w:t>22. Рабочая книга консультанта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Как вести проект по технологии AI-First Переход</w:t>
      </w:r>
    </w:p>
    <w:p/>
    <w:p>
      <w:pPr>
        <w:pStyle w:val="Heading1"/>
      </w:pPr>
      <w:r>
        <w:t>1. Роль документа</w:t>
      </w:r>
    </w:p>
    <w:p>
      <w:r>
        <w:rPr>
          <w:rFonts w:ascii="Calibri" w:hAnsi="Calibri"/>
          <w:b w:val="0"/>
          <w:sz w:val="21"/>
        </w:rPr>
        <w:t>Это внутренний документ консультанта. Он переводит технологию из комплекта файлов в последовательность рабочих действий, вопросов и контрольных точек.</w:t>
      </w:r>
    </w:p>
    <w:p>
      <w:pPr>
        <w:pStyle w:val="Heading1"/>
      </w:pPr>
      <w:r>
        <w:t>2. Первый разговор</w:t>
      </w:r>
    </w:p>
    <w:p>
      <w:pPr>
        <w:pStyle w:val="ListBullet"/>
      </w:pPr>
      <w:r>
        <w:rPr>
          <w:rFonts w:ascii="Calibri" w:hAnsi="Calibri"/>
          <w:sz w:val="20"/>
        </w:rPr>
        <w:t>Уточнить, кто инициатор: собственник, генеральный директор, функция или ИТ.</w:t>
      </w:r>
    </w:p>
    <w:p>
      <w:pPr>
        <w:pStyle w:val="ListBullet"/>
      </w:pPr>
      <w:r>
        <w:rPr>
          <w:rFonts w:ascii="Calibri" w:hAnsi="Calibri"/>
          <w:sz w:val="20"/>
        </w:rPr>
        <w:t>Выяснить, что уже называется ИИ в компании.</w:t>
      </w:r>
    </w:p>
    <w:p>
      <w:pPr>
        <w:pStyle w:val="ListBullet"/>
      </w:pPr>
      <w:r>
        <w:rPr>
          <w:rFonts w:ascii="Calibri" w:hAnsi="Calibri"/>
          <w:sz w:val="20"/>
        </w:rPr>
        <w:t>Проверить, хочет ли клиент честную диагностику или подтверждение уже принятого решения.</w:t>
      </w:r>
    </w:p>
    <w:p>
      <w:pPr>
        <w:pStyle w:val="ListBullet"/>
      </w:pPr>
      <w:r>
        <w:rPr>
          <w:rFonts w:ascii="Calibri" w:hAnsi="Calibri"/>
          <w:sz w:val="20"/>
        </w:rPr>
        <w:t>Сразу объяснить: Диагностика может закончиться решением не запускать.</w:t>
      </w:r>
    </w:p>
    <w:p>
      <w:pPr>
        <w:pStyle w:val="ListBullet"/>
      </w:pPr>
      <w:r>
        <w:rPr>
          <w:rFonts w:ascii="Calibri" w:hAnsi="Calibri"/>
          <w:sz w:val="20"/>
        </w:rPr>
        <w:t>Не обещать экономию, сроки и окупаемость до проверки данных.</w:t>
      </w:r>
    </w:p>
    <w:p>
      <w:pPr>
        <w:pStyle w:val="Heading1"/>
      </w:pPr>
      <w:r>
        <w:t>3. Интервью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С кем говорить</w:t>
            </w:r>
          </w:p>
        </w:tc>
        <w:tc>
          <w:tcPr>
            <w:tcW w:type="dxa" w:w="432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Что выяснить</w:t>
            </w:r>
          </w:p>
        </w:tc>
        <w:tc>
          <w:tcPr>
            <w:tcW w:type="dxa" w:w="3168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Красный сигнал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Собственник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Цена ошибки, мандат, право остановки, ожидание от ИИ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Нужна только красивая история про современность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Генеральный директор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Где ИИ должен изменить управленческое решение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Ответственность отдана ИТ или внешнему подрядчику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эффекта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Какой результат должен измениться и как он будет проверяться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Эффект ничей или описан только общими словами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данных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Доступ, качество, ограничения, допустимость использования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Данные есть, но владельца и правил нет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процесса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Как сейчас принимается решение и где возникает ошибка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ИИ обсуждается отдельно от процесса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Люди, которых затронет изменение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Страхи, сопротивление, новая ответственность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Людей считают только пользователями инструмента</w:t>
            </w:r>
          </w:p>
        </w:tc>
      </w:tr>
    </w:tbl>
    <w:p/>
    <w:p>
      <w:pPr>
        <w:pStyle w:val="Heading1"/>
      </w:pPr>
      <w:r>
        <w:t>4. Повестки встреч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Встреча</w:t>
            </w:r>
          </w:p>
        </w:tc>
        <w:tc>
          <w:tcPr>
            <w:tcW w:type="dxa" w:w="5184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Повестка</w:t>
            </w:r>
          </w:p>
        </w:tc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Выход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Диагностика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Запрос, цена ошибки, готовность, данные, владельцы, стоп-факторы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Протокол вердикта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Сессия решений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Варианты применения ИИ, владельцы, риски, ограничения, условия остановки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Активный набор до 5 вариантов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Спринт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План действий, зависимости, факты, отклонения, решения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Промежуточный отчет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Сопровождение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Факт результата, отклонения, устойчивость, решение дальше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Протокол остановки или продолжения</w:t>
            </w:r>
          </w:p>
        </w:tc>
      </w:tr>
    </w:tbl>
    <w:p/>
    <w:p>
      <w:pPr>
        <w:pStyle w:val="Heading1"/>
      </w:pPr>
      <w:r>
        <w:t>5. Decision gates, контрольные точки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Точка</w:t>
            </w:r>
          </w:p>
        </w:tc>
        <w:tc>
          <w:tcPr>
            <w:tcW w:type="dxa" w:w="3888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Можно идти дальше, если</w:t>
            </w:r>
          </w:p>
        </w:tc>
        <w:tc>
          <w:tcPr>
            <w:tcW w:type="dxa" w:w="3888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Нельзя идти дальше, если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После Диагностики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 вердикт, владельцы, факты и условия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Нет владельца эффекта, данных или процесса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После Сессии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Активный набор не более 5, по каждому варианту есть владелец и условие остановки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Список раздут или построен на желании, а не на фактах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 середине Спринта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Факты подтверждают движение и сохраняется управляемость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Появились критические отклонения без владельца решения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После Сопровождения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 решение продолжить, изменить, остановить или масштабировать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Результат описан впечатлением, а не проверкой</w:t>
            </w:r>
          </w:p>
        </w:tc>
      </w:tr>
    </w:tbl>
    <w:p/>
    <w:p>
      <w:pPr>
        <w:pStyle w:val="Heading1"/>
      </w:pPr>
      <w:r>
        <w:t>6. Типовые ошибки консультанта</w:t>
      </w:r>
    </w:p>
    <w:p>
      <w:pPr>
        <w:pStyle w:val="ListBullet"/>
      </w:pPr>
      <w:r>
        <w:rPr>
          <w:rFonts w:ascii="Calibri" w:hAnsi="Calibri"/>
          <w:sz w:val="20"/>
        </w:rPr>
        <w:t>Слишком рано переходить от управленческого вопроса к инструменту.</w:t>
      </w:r>
    </w:p>
    <w:p>
      <w:pPr>
        <w:pStyle w:val="ListBullet"/>
      </w:pPr>
      <w:r>
        <w:rPr>
          <w:rFonts w:ascii="Calibri" w:hAnsi="Calibri"/>
          <w:sz w:val="20"/>
        </w:rPr>
        <w:t>Брать на себя обещание эффекта, который должен принадлежать владельцу эффекта.</w:t>
      </w:r>
    </w:p>
    <w:p>
      <w:pPr>
        <w:pStyle w:val="ListBullet"/>
      </w:pPr>
      <w:r>
        <w:rPr>
          <w:rFonts w:ascii="Calibri" w:hAnsi="Calibri"/>
          <w:sz w:val="20"/>
        </w:rPr>
        <w:t>Путать кейс и вариант применения ИИ.</w:t>
      </w:r>
    </w:p>
    <w:p>
      <w:pPr>
        <w:pStyle w:val="ListBullet"/>
      </w:pPr>
      <w:r>
        <w:rPr>
          <w:rFonts w:ascii="Calibri" w:hAnsi="Calibri"/>
          <w:sz w:val="20"/>
        </w:rPr>
        <w:t>Считать сопротивление людей второстепенной темой.</w:t>
      </w:r>
    </w:p>
    <w:p>
      <w:pPr>
        <w:pStyle w:val="ListBullet"/>
      </w:pPr>
      <w:r>
        <w:rPr>
          <w:rFonts w:ascii="Calibri" w:hAnsi="Calibri"/>
          <w:sz w:val="20"/>
        </w:rPr>
        <w:t>Давать клиенту больше пяти активных вариантов ради впечатления масштаба.</w:t>
      </w:r>
    </w:p>
    <w:p>
      <w:pPr>
        <w:pStyle w:val="ListBullet"/>
      </w:pPr>
      <w:r>
        <w:rPr>
          <w:rFonts w:ascii="Calibri" w:hAnsi="Calibri"/>
          <w:sz w:val="20"/>
        </w:rPr>
        <w:t>Считать отсутствие данных технической проблемой, хотя часто это управленческий разрыв.</w:t>
      </w:r>
    </w:p>
    <w:p>
      <w:pPr>
        <w:pStyle w:val="Heading1"/>
      </w:pPr>
      <w:r>
        <w:t>7. Что делать при сложных запросах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Ситуация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Правильная реакция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Клиент хочет сразу внедрять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Вернуть разговор к Диагностике: что внедряем, кто владелец эффекта, где данные, как остановим.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Клиент просит гарантию экономии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Объяснить, что гарантия возможна только после проверки базовой линии и условий влияния.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Нет данных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 маскировать разрыв. Зафиксировать Hold, отложить, или No-go, не запускать.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Нет владельца эффекта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 запускать вариант. Сначала назначить владельца или убрать вариант из набора.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Руководство хочет подтвердить готовое решение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 продавать технологию как декорацию уже принятого решения.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