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1F4E79"/>
          <w:sz w:val="36"/>
        </w:rPr>
        <w:t>AI-First Переход</w:t>
      </w:r>
    </w:p>
    <w:p>
      <w:r>
        <w:rPr>
          <w:rFonts w:ascii="Arial" w:hAnsi="Arial" w:eastAsia="Arial"/>
          <w:b/>
          <w:sz w:val="32"/>
        </w:rPr>
        <w:t>Каталог 12 кейсов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Назначение каталога: быстро выбрать кейс под боль клиента, страницу сайта, презентацию, консультацию или коммерческое письмо. Все кейсы являются обобщенными управленческими примерами, а не описанием конкретных компаний.</w:t>
            </w:r>
          </w:p>
        </w:tc>
      </w:tr>
    </w:tbl>
    <w:p/>
    <w:tbl>
      <w:tblGrid>
        <w:gridCol w:w="2268"/>
        <w:gridCol w:w="2835"/>
        <w:gridCol w:w="4252"/>
      </w:tblGrid>
      <w:tblPr>
        <w:tblStyle w:val="TableGrid"/>
        <w:tblW w:type="dxa" w:w="9355"/>
        <w:tblLayout w:type="fixed"/>
        <w:tblLook w:firstColumn="1" w:firstRow="1" w:lastColumn="0" w:lastRow="0" w:noHBand="0" w:noVBand="1" w:val="04A0"/>
      </w:tblPr>
      <w:tr>
        <w:trPr>
          <w:tblHeader/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42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8"/>
              </w:rPr>
              <w:t>каталог-карта кейсов</w:t>
            </w:r>
          </w:p>
        </w:tc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8"/>
              </w:rPr>
              <w:t>финальная карта серии</w:t>
            </w:r>
          </w:p>
        </w:tc>
        <w:tc>
          <w:tcPr>
            <w:tcW w:type="dxa" w:w="42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8"/>
              </w:rPr>
              <w:t>после подготовки 12 отдельных кейсов: 11 успешных, 1 остановить</w:t>
            </w:r>
          </w:p>
        </w:tc>
      </w:tr>
    </w:tbl>
    <w:p/>
    <w:p>
      <w:pPr>
        <w:pStyle w:val="Heading1"/>
      </w:pPr>
      <w:r>
        <w:t>Карта 12 кейсов</w:t>
      </w:r>
    </w:p>
    <w:tbl>
      <w:tblGrid>
        <w:gridCol w:w="567"/>
        <w:gridCol w:w="3005"/>
        <w:gridCol w:w="4536"/>
        <w:gridCol w:w="1247"/>
      </w:tblGrid>
      <w:tblPr>
        <w:tblStyle w:val="TableGrid"/>
        <w:tblW w:type="dxa" w:w="9355"/>
        <w:tblLayout w:type="fixed"/>
        <w:tblLook w:firstColumn="1" w:firstRow="1" w:lastColumn="0" w:lastRow="0" w:noHBand="0" w:noVBand="1" w:val="04A0"/>
      </w:tblPr>
      <w:tr>
        <w:trPr>
          <w:tblHeader/>
          <w:cantSplit/>
        </w:trPr>
        <w:tc>
          <w:tcPr>
            <w:tcW w:type="dxa" w:w="56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Кейс</w:t>
            </w:r>
          </w:p>
        </w:tc>
        <w:tc>
          <w:tcPr>
            <w:tcW w:type="dxa" w:w="45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показывает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1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7"/>
              </w:rPr>
              <w:t>Диагностика остановила запуск ИИ</w:t>
            </w:r>
          </w:p>
        </w:tc>
        <w:tc>
          <w:tcPr>
            <w:tcW w:type="dxa" w:w="45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7"/>
              </w:rPr>
              <w:t>Если нет владельцев, данных, экономики и права остановки, правильный результат Диагностики - не запускать ИИ-переход.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Остановить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r/>
            <w:r>
              <w:rPr>
                <w:rFonts w:ascii="Arial" w:hAnsi="Arial" w:eastAsia="Arial"/>
                <w:sz w:val="17"/>
              </w:rPr>
              <w:t>ИИ ускорил продажи, но не улучшил сделки</w:t>
            </w:r>
          </w:p>
        </w:tc>
        <w:tc>
          <w:tcPr>
            <w:tcW w:type="dxa" w:w="45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r/>
            <w:r>
              <w:rPr>
                <w:rFonts w:ascii="Arial" w:hAnsi="Arial" w:eastAsia="Arial"/>
                <w:sz w:val="17"/>
              </w:rPr>
              <w:t>Скорость подготовки коммерческих писем не равна качеству сделки: нужен владелец эффекта, критерии и контроль.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Успешный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3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7"/>
              </w:rPr>
              <w:t>Финансы сделали ИИ-отчеты, но не дали управленческий вывод</w:t>
            </w:r>
          </w:p>
        </w:tc>
        <w:tc>
          <w:tcPr>
            <w:tcW w:type="dxa" w:w="45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7"/>
              </w:rPr>
              <w:t>Отчет становится результатом только тогда, когда есть сигнал, владелец реакции, решение и срок проверки.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Успешный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4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r/>
            <w:r>
              <w:rPr>
                <w:rFonts w:ascii="Arial" w:hAnsi="Arial" w:eastAsia="Arial"/>
                <w:sz w:val="17"/>
              </w:rPr>
              <w:t>Чат-бот ускорил поддержку, но усилил жалобы</w:t>
            </w:r>
          </w:p>
        </w:tc>
        <w:tc>
          <w:tcPr>
            <w:tcW w:type="dxa" w:w="45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r/>
            <w:r>
              <w:rPr>
                <w:rFonts w:ascii="Arial" w:hAnsi="Arial" w:eastAsia="Arial"/>
                <w:sz w:val="17"/>
              </w:rPr>
              <w:t>Автоматический ответ не равен решенной проблеме клиента: нужны эскалация, риск и человеческая ответственность.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Успешный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5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7"/>
              </w:rPr>
              <w:t>Прогноз спроса уперся не в ИИ, а в данные</w:t>
            </w:r>
          </w:p>
        </w:tc>
        <w:tc>
          <w:tcPr>
            <w:tcW w:type="dxa" w:w="45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7"/>
              </w:rPr>
              <w:t>Прогноз нельзя запускать как магический проект: сначала нужны данные, владельцы, исключения и ограниченный пилот.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Успешный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r/>
            <w:r>
              <w:rPr>
                <w:rFonts w:ascii="Arial" w:hAnsi="Arial" w:eastAsia="Arial"/>
                <w:sz w:val="17"/>
              </w:rPr>
              <w:t>Маркетинг генерировал контент быстрее, чем рос контроль</w:t>
            </w:r>
          </w:p>
        </w:tc>
        <w:tc>
          <w:tcPr>
            <w:tcW w:type="dxa" w:w="45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r/>
            <w:r>
              <w:rPr>
                <w:rFonts w:ascii="Arial" w:hAnsi="Arial" w:eastAsia="Arial"/>
                <w:sz w:val="17"/>
              </w:rPr>
              <w:t>Массовый контент должен быть связан с брендом, правом, фактами продукта и владельцем канала.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Успешный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7"/>
              </w:rPr>
              <w:t>Закупки нашли экономию, но потеряли управляемость выбора</w:t>
            </w:r>
          </w:p>
        </w:tc>
        <w:tc>
          <w:tcPr>
            <w:tcW w:type="dxa" w:w="45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7"/>
              </w:rPr>
              <w:t>Сравнение поставщиков помогает анализу, но выбор требует критериев, владельца категории и права отказа.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Успешный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r/>
            <w:r>
              <w:rPr>
                <w:rFonts w:ascii="Arial" w:hAnsi="Arial" w:eastAsia="Arial"/>
                <w:sz w:val="17"/>
              </w:rPr>
              <w:t>Подбор персонала ускорился, но критерии роли были размыты</w:t>
            </w:r>
          </w:p>
        </w:tc>
        <w:tc>
          <w:tcPr>
            <w:tcW w:type="dxa" w:w="45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r/>
            <w:r>
              <w:rPr>
                <w:rFonts w:ascii="Arial" w:hAnsi="Arial" w:eastAsia="Arial"/>
                <w:sz w:val="17"/>
              </w:rPr>
              <w:t>Быстрый разбор резюме не заменяет карту роли, критерии, интервью и ответственность нанимающего руководителя.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Успешный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9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7"/>
              </w:rPr>
              <w:t>Договоры проверялись быстрее, но правовая позиция исчезала</w:t>
            </w:r>
          </w:p>
        </w:tc>
        <w:tc>
          <w:tcPr>
            <w:tcW w:type="dxa" w:w="45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7"/>
              </w:rPr>
              <w:t>Быстрая вычитка договора должна вести к правовой позиции, маршруту согласования и праву сказать клиенту нет.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Успешный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10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r/>
            <w:r>
              <w:rPr>
                <w:rFonts w:ascii="Arial" w:hAnsi="Arial" w:eastAsia="Arial"/>
                <w:sz w:val="17"/>
              </w:rPr>
              <w:t>Производство видело отклонения, но не останавливало причину</w:t>
            </w:r>
          </w:p>
        </w:tc>
        <w:tc>
          <w:tcPr>
            <w:tcW w:type="dxa" w:w="45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r/>
            <w:r>
              <w:rPr>
                <w:rFonts w:ascii="Arial" w:hAnsi="Arial" w:eastAsia="Arial"/>
                <w:sz w:val="17"/>
              </w:rPr>
              <w:t>Найденное отклонение должно быть связано с причиной, владельцем, эскалацией и правом остановки партии.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Успешный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11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7"/>
              </w:rPr>
              <w:t>Дебиторка получила прогноз, но не получила дисциплину решения</w:t>
            </w:r>
          </w:p>
        </w:tc>
        <w:tc>
          <w:tcPr>
            <w:tcW w:type="dxa" w:w="45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r/>
            <w:r>
              <w:rPr>
                <w:rFonts w:ascii="Arial" w:hAnsi="Arial" w:eastAsia="Arial"/>
                <w:sz w:val="17"/>
              </w:rPr>
              <w:t>Прогноз риска оплаты работает только вместе с действиями продаж, лимитами, исключениями и правом остановки отгрузки.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Успешный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12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r/>
            <w:r>
              <w:rPr>
                <w:rFonts w:ascii="Arial" w:hAnsi="Arial" w:eastAsia="Arial"/>
                <w:sz w:val="17"/>
              </w:rPr>
              <w:t>Управленческий штаб получил протоколы, но не получил исполнение</w:t>
            </w:r>
          </w:p>
        </w:tc>
        <w:tc>
          <w:tcPr>
            <w:tcW w:type="dxa" w:w="45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r/>
            <w:r>
              <w:rPr>
                <w:rFonts w:ascii="Arial" w:hAnsi="Arial" w:eastAsia="Arial"/>
                <w:sz w:val="17"/>
              </w:rPr>
              <w:t>Протокол становится управляемостью только при владельце, сроке, критерии исполнения, ограничении и контроле.</w:t>
            </w:r>
          </w:p>
        </w:tc>
        <w:tc>
          <w:tcPr>
            <w:tcW w:type="dxa" w:w="124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center"/>
            </w:pPr>
            <w:r/>
            <w:r>
              <w:rPr>
                <w:rFonts w:ascii="Arial" w:hAnsi="Arial" w:eastAsia="Arial"/>
                <w:sz w:val="17"/>
              </w:rPr>
              <w:t>Успешный</w:t>
            </w:r>
          </w:p>
        </w:tc>
      </w:tr>
    </w:tbl>
    <w:p/>
    <w:p>
      <w:pPr>
        <w:pStyle w:val="Heading1"/>
      </w:pPr>
      <w:r>
        <w:t>Маршрут чтения и границы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Кейс 1 фиксирует стоп-линию: технология не должна переходить к Сессии, Спринту и Сопровождению, если клиент не готов работать с владельцами, данными, экономической логикой и правом остановки. Кейсы 2-12 показывают положительное применение технологии в продажах, финансах, поддержке, спросе, маркетинге, закупках, подборе персонала, договорах, производстве, дебиторке и управленческом штабе. Во всех кейсах ИИ не получает право самостоятельного управленческого решения: он включается в контур владельцев, ограничений, проверки и контроля.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