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50" w:lineRule="auto"/>
      </w:pPr>
      <w:r>
        <w:rPr>
          <w:rFonts w:ascii="Arial" w:hAnsi="Arial" w:eastAsia="Arial"/>
          <w:b w:val="0"/>
          <w:color w:val="667085"/>
          <w:sz w:val="19"/>
        </w:rPr>
        <w:t>C-Level Insight | AI-First Переход</w:t>
      </w:r>
    </w:p>
    <w:tbl>
      <w:tblPr>
        <w:tblW w:type="dxa" w:w="9000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0B1F33"/>
            <w:tcBorders>
              <w:top w:val="single" w:sz="8" w:space="0" w:color="0B1F33"/>
              <w:left w:val="single" w:sz="8" w:space="0" w:color="0B1F33"/>
              <w:bottom w:val="single" w:sz="8" w:space="0" w:color="0B1F33"/>
              <w:right w:val="single" w:sz="8" w:space="0" w:color="0B1F33"/>
            </w:tcBorders>
            <w:tcMar>
              <w:top w:w="150" w:type="dxa"/>
              <w:start w:w="150" w:type="dxa"/>
              <w:bottom w:w="135" w:type="dxa"/>
              <w:end w:w="15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color w:val="FFFFFF"/>
                <w:sz w:val="42"/>
              </w:rPr>
              <w:t>Кейс №1. Диагностика остановила запуск ИИ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color w:val="E8EEF5"/>
                <w:sz w:val="22"/>
              </w:rPr>
              <w:t>Как компания получила рекомендацию не переходить к AI-First, потому что запрос был неподготовлен, без владельцев, данных и права остановки</w:t>
            </w:r>
          </w:p>
        </w:tc>
      </w:tr>
    </w:tbl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F4EFE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1F33"/>
                <w:sz w:val="21"/>
              </w:rPr>
              <w:t xml:space="preserve">Короткий вывод. </w:t>
            </w:r>
            <w:r>
              <w:rPr>
                <w:rFonts w:ascii="Arial" w:hAnsi="Arial"/>
                <w:color w:val="1F2A37"/>
                <w:sz w:val="21"/>
              </w:rPr>
              <w:t>Хорошая Диагностика не обязана приводить к Сессии, Спринту или Сопровождению. В этом кейсе правильным результатом стало решение не применять технологию дальше и не запускать ИИ-переход до устранения базовых разрывов.</w:t>
            </w:r>
          </w:p>
        </w:tc>
      </w:tr>
    </w:tbl>
    <w:p>
      <w:pPr>
        <w:pStyle w:val="Heading1"/>
        <w:spacing w:after="80" w:before="180" w:line="259" w:lineRule="auto"/>
      </w:pPr>
      <w:r>
        <w:rPr>
          <w:rFonts w:ascii="Arial" w:hAnsi="Arial" w:eastAsia="Arial"/>
          <w:b/>
          <w:color w:val="0B1F33"/>
          <w:sz w:val="34"/>
        </w:rPr>
        <w:t>0. Паспорт кейса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600"/>
        <w:gridCol w:w="6400"/>
      </w:tblGrid>
      <w:tr>
        <w:tc>
          <w:tcPr>
            <w:tcW w:type="dxa" w:w="2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2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Тип кейса</w:t>
            </w:r>
          </w:p>
        </w:tc>
        <w:tc>
          <w:tcPr>
            <w:tcW w:type="dxa" w:w="6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Обобщенный управленческий кейс применения Диагностики AI-First Перехода на ситуации неподготовленного запроса.</w:t>
            </w:r>
          </w:p>
        </w:tc>
      </w:tr>
      <w:tr>
        <w:tc>
          <w:tcPr>
            <w:tcW w:type="dxa" w:w="2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Компания</w:t>
            </w:r>
          </w:p>
        </w:tc>
        <w:tc>
          <w:tcPr>
            <w:tcW w:type="dxa" w:w="6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Региональная торгово-производственная группа: B2B-продажи, склад, сервис, собственное производство, около 900 сотрудников.</w:t>
            </w:r>
          </w:p>
        </w:tc>
      </w:tr>
      <w:tr>
        <w:tc>
          <w:tcPr>
            <w:tcW w:type="dxa" w:w="2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Контекст</w:t>
            </w:r>
          </w:p>
        </w:tc>
        <w:tc>
          <w:tcPr>
            <w:tcW w:type="dxa" w:w="6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2026 год. Собственник требует ускорить применение ИИ, руководители функций уже тестируют отдельные инструменты.</w:t>
            </w:r>
          </w:p>
        </w:tc>
      </w:tr>
      <w:tr>
        <w:tc>
          <w:tcPr>
            <w:tcW w:type="dxa" w:w="2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Первичный симптом</w:t>
            </w:r>
          </w:p>
        </w:tc>
        <w:tc>
          <w:tcPr>
            <w:tcW w:type="dxa" w:w="6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В компании было 14 ИИ-инициатив, но не было единого владельца результата, списка данных, условий остановки и права сказать “не запускать”.</w:t>
            </w:r>
          </w:p>
        </w:tc>
      </w:tr>
      <w:tr>
        <w:tc>
          <w:tcPr>
            <w:tcW w:type="dxa" w:w="2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Запрос клиента</w:t>
            </w:r>
          </w:p>
        </w:tc>
        <w:tc>
          <w:tcPr>
            <w:tcW w:type="dxa" w:w="6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Провести сессию и быстро выбрать ИИ-проекты для запуска.</w:t>
            </w:r>
          </w:p>
        </w:tc>
      </w:tr>
      <w:tr>
        <w:tc>
          <w:tcPr>
            <w:tcW w:type="dxa" w:w="2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Итог Диагностики</w:t>
            </w:r>
          </w:p>
        </w:tc>
        <w:tc>
          <w:tcPr>
            <w:tcW w:type="dxa" w:w="6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Рекомендовано не применять AI-First Переход дальше: не проводить Сессию решений и не запускать Спринт до устранения условий готовности.</w:t>
            </w:r>
          </w:p>
        </w:tc>
      </w:tr>
      <w:tr>
        <w:tc>
          <w:tcPr>
            <w:tcW w:type="dxa" w:w="2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Главная причина</w:t>
            </w:r>
          </w:p>
        </w:tc>
        <w:tc>
          <w:tcPr>
            <w:tcW w:type="dxa" w:w="6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Запрос был не управленческим решением, а попыткой подтвердить уже принятое желание “надо внедрять ИИ”.</w:t>
            </w:r>
          </w:p>
        </w:tc>
      </w:tr>
    </w:tbl>
    <w:p>
      <w:pPr>
        <w:spacing w:after="60" w:line="250" w:lineRule="auto"/>
      </w:pPr>
    </w:p>
    <w:p>
      <w:pPr>
        <w:pStyle w:val="Heading1"/>
        <w:spacing w:after="80" w:before="180" w:line="259" w:lineRule="auto"/>
      </w:pPr>
      <w:r>
        <w:rPr>
          <w:rFonts w:ascii="Arial" w:hAnsi="Arial" w:eastAsia="Arial"/>
          <w:b/>
          <w:color w:val="0B1F33"/>
          <w:sz w:val="34"/>
        </w:rPr>
        <w:t>1. Ситуация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1"/>
        </w:rPr>
        <w:t>Компания вошла в год с сильным ожиданием от ИИ. Собственник видел, что конкуренты говорят об автоматизации, руководители функций приносили примеры инструментов, а генеральный директор хотел показать первому управленческому уровню, что компания не отстает.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1"/>
        </w:rPr>
        <w:t>На момент входа в Диагностику в компании уже существовали разрозненные инициативы: помощник для коммерческих писем, генерация описаний товаров, автоматизация управленческой отчетности, анализ обращений клиентов, подбор персонала, прогнозирование спроса, база знаний для сервиса и несколько личных экспериментов руководителей.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1"/>
        </w:rPr>
        <w:t>Внешне это выглядело как движение к ИИ. Но при первом разборе стало видно, что инициативы не связаны с владельцами эффекта, качеством данных, правами решений, рисками и условиями остановки. Компания хотела перейти к Сессии решений, но фактически не была готова даже к формированию активного набора.</w:t>
      </w:r>
    </w:p>
    <w:p>
      <w:pPr>
        <w:spacing w:after="60" w:line="250" w:lineRule="auto"/>
      </w:pPr>
      <w:r>
        <w:br w:type="page"/>
      </w:r>
    </w:p>
    <w:p>
      <w:pPr>
        <w:pStyle w:val="Heading1"/>
        <w:spacing w:after="80" w:before="180" w:line="259" w:lineRule="auto"/>
      </w:pPr>
      <w:r>
        <w:rPr>
          <w:rFonts w:ascii="Arial" w:hAnsi="Arial" w:eastAsia="Arial"/>
          <w:b/>
          <w:color w:val="0B1F33"/>
          <w:sz w:val="34"/>
        </w:rPr>
        <w:t>2. Первичная ошибка клиента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800"/>
        <w:gridCol w:w="3100"/>
        <w:gridCol w:w="3100"/>
      </w:tblGrid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думали до Диагностики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проверила Диагностика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оказалось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Нужно быстрее выбрать ИИ-проекты.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Есть ли мандат, владельцы, данные, экономика и условия остановки.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Выбирать было рано: большинство инициатив не имело владельца результата и проверяемого основания.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Сессия поможет договориться.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Есть ли у участников право принимать решение, а не только обсуждать идеи.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На встречу предлагали привести “интересующихся”, но не владельцев данных, процесса, денег и риска.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Главная проблема - нехватка знаний об ИИ.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Является ли проблема образовательной или управленческой.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Проблема была не в знаниях об инструментах, а в отсутствии управленческого контура.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ИИ надо запускать, чтобы не отстать.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Можно ли доказать, что выбранный запуск имеет деловой смысл.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Аргумент “чтобы не отстать” не заменял экономику, качество данных и ответственность.</w:t>
            </w:r>
          </w:p>
        </w:tc>
      </w:tr>
    </w:tbl>
    <w:p>
      <w:pPr>
        <w:spacing w:after="60" w:line="250" w:lineRule="auto"/>
      </w:pPr>
    </w:p>
    <w:p>
      <w:pPr>
        <w:pStyle w:val="Heading1"/>
        <w:spacing w:after="80" w:before="180" w:line="259" w:lineRule="auto"/>
      </w:pPr>
      <w:r>
        <w:rPr>
          <w:rFonts w:ascii="Arial" w:hAnsi="Arial" w:eastAsia="Arial"/>
          <w:b/>
          <w:color w:val="0B1F33"/>
          <w:sz w:val="34"/>
        </w:rPr>
        <w:t>3. Как Диагностика вошла в работу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1"/>
        </w:rPr>
        <w:t>Вход был ограничен Диагностикой. Консультант не обещал Сессию, Спринт и эффект заранее. Задача первого этапа была другой: проверить, есть ли вообще условия для применения технологии дальше.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3650"/>
        <w:gridCol w:w="3650"/>
      </w:tblGrid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Проверяемый контур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запрашивалось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было получено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Мандат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Кто имеет право остановить ИИ-инициативу или не включить ее в активный набор.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Право остановки не было названо. Предполагалось, что “решим на сессии”.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Владельцы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Кто владеет эффектом, данными, процессом, риском и итоговым решением.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 большинству инициатив был только энтузиаст или функциональный заказчик.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Данные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Какие данные доступны, кто отвечает за качество и можно ли их использовать.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Доступ и качество данных не подтверждены; часть данных находилась в разных системах и таблицах.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Экономика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Что должно измениться в деньгах, сроках, качестве или риске.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Финансовая логика описана общими словами; расчетов и исходных базовых значений не было.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Люди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Кто будет использовать результат и что изменится в работе сотрудников.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Пользователи не были вовлечены; риски сопротивления и ошибок не разобраны.</w:t>
            </w:r>
          </w:p>
        </w:tc>
      </w:tr>
    </w:tbl>
    <w:p>
      <w:pPr>
        <w:spacing w:after="60" w:line="250" w:lineRule="auto"/>
      </w:pPr>
    </w:p>
    <w:p>
      <w:pPr>
        <w:pStyle w:val="Heading1"/>
        <w:spacing w:after="80" w:before="180" w:line="259" w:lineRule="auto"/>
      </w:pPr>
      <w:r>
        <w:rPr>
          <w:rFonts w:ascii="Arial" w:hAnsi="Arial" w:eastAsia="Arial"/>
          <w:b/>
          <w:color w:val="0B1F33"/>
          <w:sz w:val="34"/>
        </w:rPr>
        <w:t>4. Вердикт Диагностики</w:t>
      </w:r>
    </w:p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FFF3E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1F33"/>
                <w:sz w:val="21"/>
              </w:rPr>
              <w:t xml:space="preserve">Вердикт. </w:t>
            </w:r>
            <w:r>
              <w:rPr>
                <w:rFonts w:ascii="Arial" w:hAnsi="Arial"/>
                <w:color w:val="1F2A37"/>
                <w:sz w:val="21"/>
              </w:rPr>
              <w:t>Не переходить к Сессии решений, не формировать активный набор и не запускать Спринт. Сначала компании нужно устранить базовые условия готовности: назначить владельцев, подтвердить данные, описать экономическую логику и закрепить право остановки.</w:t>
            </w:r>
          </w:p>
        </w:tc>
      </w:tr>
    </w:tbl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400"/>
        <w:gridCol w:w="1800"/>
        <w:gridCol w:w="4800"/>
      </w:tblGrid>
      <w:tr>
        <w:tc>
          <w:tcPr>
            <w:tcW w:type="dxa" w:w="2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Критерий готовности</w:t>
            </w:r>
          </w:p>
        </w:tc>
        <w:tc>
          <w:tcPr>
            <w:tcW w:type="dxa" w:w="1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Причина</w:t>
            </w:r>
          </w:p>
        </w:tc>
      </w:tr>
      <w:tr>
        <w:tc>
          <w:tcPr>
            <w:tcW w:type="dxa" w:w="2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Мандат первого управленческого уровня</w:t>
            </w:r>
          </w:p>
        </w:tc>
        <w:tc>
          <w:tcPr>
            <w:tcW w:type="dxa" w:w="1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Не подтвержден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Генеральный директор хотел ускорения, но не был закреплен порядок принятия и остановки решений.</w:t>
            </w:r>
          </w:p>
        </w:tc>
      </w:tr>
      <w:tr>
        <w:tc>
          <w:tcPr>
            <w:tcW w:type="dxa" w:w="2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Владелец эффекта</w:t>
            </w:r>
          </w:p>
        </w:tc>
        <w:tc>
          <w:tcPr>
            <w:tcW w:type="dxa" w:w="1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Не подтвержден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Инициативы имели функциональных энтузиастов, но не владельцев делового результата.</w:t>
            </w:r>
          </w:p>
        </w:tc>
      </w:tr>
      <w:tr>
        <w:tc>
          <w:tcPr>
            <w:tcW w:type="dxa" w:w="2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Данные</w:t>
            </w:r>
          </w:p>
        </w:tc>
        <w:tc>
          <w:tcPr>
            <w:tcW w:type="dxa" w:w="1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Не подтверждены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Нет перечня источников, владельцев качества, ограничений доступа и базовых значений для проверки.</w:t>
            </w:r>
          </w:p>
        </w:tc>
      </w:tr>
      <w:tr>
        <w:tc>
          <w:tcPr>
            <w:tcW w:type="dxa" w:w="2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Экономическая логика</w:t>
            </w:r>
          </w:p>
        </w:tc>
        <w:tc>
          <w:tcPr>
            <w:tcW w:type="dxa" w:w="1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Не подтверждена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Нет проверяемого ответа, что именно должно измениться и как это будет измерено.</w:t>
            </w:r>
          </w:p>
        </w:tc>
      </w:tr>
      <w:tr>
        <w:tc>
          <w:tcPr>
            <w:tcW w:type="dxa" w:w="2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Условия остановки</w:t>
            </w:r>
          </w:p>
        </w:tc>
        <w:tc>
          <w:tcPr>
            <w:tcW w:type="dxa" w:w="1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Отсутствуют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Компания обсуждала запуск, но не обсуждала законное право остановить инициативу.</w:t>
            </w:r>
          </w:p>
        </w:tc>
      </w:tr>
      <w:tr>
        <w:tc>
          <w:tcPr>
            <w:tcW w:type="dxa" w:w="2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Готовность людей</w:t>
            </w:r>
          </w:p>
        </w:tc>
        <w:tc>
          <w:tcPr>
            <w:tcW w:type="dxa" w:w="1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Не подтверждена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Пользователи и руководители участков не участвовали в постановке изменений.</w:t>
            </w:r>
          </w:p>
        </w:tc>
      </w:tr>
    </w:tbl>
    <w:p>
      <w:pPr>
        <w:spacing w:after="60" w:line="250" w:lineRule="auto"/>
      </w:pPr>
    </w:p>
    <w:p>
      <w:pPr>
        <w:pStyle w:val="Heading1"/>
        <w:spacing w:after="80" w:before="180" w:line="259" w:lineRule="auto"/>
      </w:pPr>
      <w:r>
        <w:rPr>
          <w:rFonts w:ascii="Arial" w:hAnsi="Arial" w:eastAsia="Arial"/>
          <w:b/>
          <w:color w:val="0B1F33"/>
          <w:sz w:val="34"/>
        </w:rPr>
        <w:t>5. Почему технологию не применяли дальше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1"/>
        </w:rPr>
        <w:t>Рекомендация “не применять дальше” не означала, что компании нельзя использовать ИИ вообще. Она означала, что именно AI-First Переход как технология управляемого отбора, запуска и контроля не должен начинаться без минимальных условий готовности.</w:t>
      </w:r>
    </w:p>
    <w:p>
      <w:pPr>
        <w:pStyle w:val="ListBullet"/>
        <w:spacing w:after="20" w:before="0" w:line="245" w:lineRule="auto"/>
        <w:ind w:left="360" w:hanging="173"/>
      </w:pPr>
      <w:r>
        <w:rPr>
          <w:rFonts w:ascii="Arial" w:hAnsi="Arial" w:eastAsia="Arial"/>
          <w:b w:val="0"/>
          <w:color w:val="1F2A37"/>
          <w:sz w:val="20"/>
        </w:rPr>
        <w:t>Сессия решений превратилась бы в сбор идей, а не в выбор управляемого активного набора.</w:t>
      </w:r>
    </w:p>
    <w:p>
      <w:pPr>
        <w:pStyle w:val="ListBullet"/>
        <w:spacing w:after="20" w:before="0" w:line="245" w:lineRule="auto"/>
        <w:ind w:left="360" w:hanging="173"/>
      </w:pPr>
      <w:r>
        <w:rPr>
          <w:rFonts w:ascii="Arial" w:hAnsi="Arial" w:eastAsia="Arial"/>
          <w:b w:val="0"/>
          <w:color w:val="1F2A37"/>
          <w:sz w:val="20"/>
        </w:rPr>
        <w:t>Спринт реализации начался бы без владельцев эффекта и без права остановки.</w:t>
      </w:r>
    </w:p>
    <w:p>
      <w:pPr>
        <w:pStyle w:val="ListBullet"/>
        <w:spacing w:after="20" w:before="0" w:line="245" w:lineRule="auto"/>
        <w:ind w:left="360" w:hanging="173"/>
      </w:pPr>
      <w:r>
        <w:rPr>
          <w:rFonts w:ascii="Arial" w:hAnsi="Arial" w:eastAsia="Arial"/>
          <w:b w:val="0"/>
          <w:color w:val="1F2A37"/>
          <w:sz w:val="20"/>
        </w:rPr>
        <w:t>Любая цифра ожидаемого результата была бы неподтвержденным обещанием.</w:t>
      </w:r>
    </w:p>
    <w:p>
      <w:pPr>
        <w:pStyle w:val="ListBullet"/>
        <w:spacing w:after="20" w:before="0" w:line="245" w:lineRule="auto"/>
        <w:ind w:left="360" w:hanging="173"/>
      </w:pPr>
      <w:r>
        <w:rPr>
          <w:rFonts w:ascii="Arial" w:hAnsi="Arial" w:eastAsia="Arial"/>
          <w:b w:val="0"/>
          <w:color w:val="1F2A37"/>
          <w:sz w:val="20"/>
        </w:rPr>
        <w:t>Консультант фактически стал бы обслуживать заранее принятое желание внедрять ИИ, а не проверять управленческое решение.</w:t>
      </w:r>
    </w:p>
    <w:p>
      <w:pPr>
        <w:pStyle w:val="Heading1"/>
        <w:spacing w:after="80" w:before="180" w:line="259" w:lineRule="auto"/>
      </w:pPr>
      <w:r>
        <w:rPr>
          <w:rFonts w:ascii="Arial" w:hAnsi="Arial" w:eastAsia="Arial"/>
          <w:b/>
          <w:color w:val="0B1F33"/>
          <w:sz w:val="34"/>
        </w:rPr>
        <w:t>6. Что было рекомендовано вместо запуска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800"/>
        <w:gridCol w:w="1700"/>
        <w:gridCol w:w="4500"/>
      </w:tblGrid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Рекомендация</w:t>
            </w:r>
          </w:p>
        </w:tc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Срок клиента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должно измениться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Назначить владельцев по каждой инициативе</w:t>
            </w:r>
          </w:p>
        </w:tc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2 недели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 каждой идее должен быть владелец эффекта, данных, процесса, риска и итогового решения.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Сократить список инициатив</w:t>
            </w:r>
          </w:p>
        </w:tc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2 недели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Из 14 инициатив оставить предварительный список, который можно проверять фактами, а не интересом.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Собрать паспорт данных</w:t>
            </w:r>
          </w:p>
        </w:tc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3-4 недели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Определить источники, доступ, качество, ограничения и владельцев данных.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Описать экономическую логику</w:t>
            </w:r>
          </w:p>
        </w:tc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3-4 недели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Зафиксировать, что должно измениться: деньги, срок, качество, риск или нагрузка руководителей.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Закрепить условия остановки</w:t>
            </w:r>
          </w:p>
        </w:tc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1 неделя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До запуска должно быть понятно, при каких фактах работа прекращается.</w:t>
            </w:r>
          </w:p>
        </w:tc>
      </w:tr>
    </w:tbl>
    <w:p>
      <w:pPr>
        <w:spacing w:after="60" w:line="250" w:lineRule="auto"/>
      </w:pPr>
    </w:p>
    <w:p>
      <w:pPr>
        <w:pStyle w:val="Heading1"/>
        <w:spacing w:after="80" w:before="180" w:line="259" w:lineRule="auto"/>
      </w:pPr>
      <w:r>
        <w:rPr>
          <w:rFonts w:ascii="Arial" w:hAnsi="Arial" w:eastAsia="Arial"/>
          <w:b/>
          <w:color w:val="0B1F33"/>
          <w:sz w:val="34"/>
        </w:rPr>
        <w:t>7. До / После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4500"/>
        <w:gridCol w:w="4500"/>
      </w:tblGrid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До Диагностики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После Диагностики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“У нас уже много ИИ-инициатив, надо выбрать лучшие.”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“У нас много неподготовленных инициатив; выбирать пока нельзя.”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Собственник ожидал быстрый запуск.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Собственник увидел, что быстрый запуск создаст имитацию управляемости.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Руководители приносили идеи и инструменты.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Руководителям вернули обязанность назвать владельца эффекта, данные и условия остановки.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Компания хотела перейти к Сессии.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Компания получила остановку и список условий, без которых Сессия вредна.</w:t>
            </w:r>
          </w:p>
        </w:tc>
      </w:tr>
    </w:tbl>
    <w:p>
      <w:pPr>
        <w:spacing w:after="60" w:line="250" w:lineRule="auto"/>
      </w:pPr>
    </w:p>
    <w:p>
      <w:pPr>
        <w:pStyle w:val="Heading1"/>
        <w:spacing w:after="80" w:before="180" w:line="259" w:lineRule="auto"/>
      </w:pPr>
      <w:r>
        <w:rPr>
          <w:rFonts w:ascii="Arial" w:hAnsi="Arial" w:eastAsia="Arial"/>
          <w:b/>
          <w:color w:val="0B1F33"/>
          <w:sz w:val="34"/>
        </w:rPr>
        <w:t>8. Артефакты, которые остались у клиента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3200"/>
        <w:gridCol w:w="5800"/>
      </w:tblGrid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Артефакт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Зачем остался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Карточка первичного запроса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Зафиксировала исходный запрос и его ограниченность.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Анкета готовности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Показала неподтвержденные зоны: мандат, данные, владельцы, экономика, люди, контроль.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Рабочая книга Диагностики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Собрала факты, разрывы, стоп-факторы и открытые вопросы.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Протокол вердикта готовности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Закрепил решение не переходить к Сессии и Спринту.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Список условий возврата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Показал, что компания должна подготовить перед повторным входом в технологию.</w:t>
            </w:r>
          </w:p>
        </w:tc>
      </w:tr>
    </w:tbl>
    <w:p>
      <w:pPr>
        <w:spacing w:after="60" w:line="250" w:lineRule="auto"/>
      </w:pPr>
    </w:p>
    <w:p>
      <w:pPr>
        <w:pStyle w:val="Heading1"/>
        <w:spacing w:after="80" w:before="180" w:line="259" w:lineRule="auto"/>
      </w:pPr>
      <w:r>
        <w:rPr>
          <w:rFonts w:ascii="Arial" w:hAnsi="Arial" w:eastAsia="Arial"/>
          <w:b/>
          <w:color w:val="0B1F33"/>
          <w:sz w:val="34"/>
        </w:rPr>
        <w:t>9. Почему без Диагностики проблема осталась бы скрытой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1"/>
        </w:rPr>
        <w:t>Без Диагностики компания, скорее всего, провела бы энергичную Сессию, выбрала несколько привлекательных ИИ-направлений и назвала это стартом AI-First. На уровне презентаций это выглядело бы как прогресс.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1"/>
        </w:rPr>
        <w:t>Но через несколько недель те же проблемы проявились бы снова: данные недоступны, владельцы спорят, сотрудники не понимают изменений, финансовый результат нельзя проверить, а остановка инициатив выглядит как политическое поражение.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1"/>
        </w:rPr>
        <w:t>Диагностика сделала видимым главный факт: компания была готова говорить об ИИ, но не была готова управлять ИИ-переходом.</w:t>
      </w:r>
    </w:p>
    <w:p>
      <w:pPr>
        <w:pStyle w:val="Heading1"/>
        <w:spacing w:after="80" w:before="180" w:line="259" w:lineRule="auto"/>
      </w:pPr>
      <w:r>
        <w:rPr>
          <w:rFonts w:ascii="Arial" w:hAnsi="Arial" w:eastAsia="Arial"/>
          <w:b/>
          <w:color w:val="0B1F33"/>
          <w:sz w:val="34"/>
        </w:rPr>
        <w:t>10. Фрагмент диагностического протокола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400"/>
        <w:gridCol w:w="3000"/>
        <w:gridCol w:w="3600"/>
      </w:tblGrid>
      <w:tr>
        <w:tc>
          <w:tcPr>
            <w:tcW w:type="dxa" w:w="2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Вопрос</w:t>
            </w:r>
          </w:p>
        </w:tc>
        <w:tc>
          <w:tcPr>
            <w:tcW w:type="dxa" w:w="3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Ответ клиента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Вывод консультанта</w:t>
            </w:r>
          </w:p>
        </w:tc>
      </w:tr>
      <w:tr>
        <w:tc>
          <w:tcPr>
            <w:tcW w:type="dxa" w:w="2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Кто имеет право остановить инициативу?</w:t>
            </w:r>
          </w:p>
        </w:tc>
        <w:tc>
          <w:tcPr>
            <w:tcW w:type="dxa" w:w="3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“Обсудим после выбора.”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Условия остановки не заданы; запуск преждевременен.</w:t>
            </w:r>
          </w:p>
        </w:tc>
      </w:tr>
      <w:tr>
        <w:tc>
          <w:tcPr>
            <w:tcW w:type="dxa" w:w="2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Кто владелец экономического результата?</w:t>
            </w:r>
          </w:p>
        </w:tc>
        <w:tc>
          <w:tcPr>
            <w:tcW w:type="dxa" w:w="3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“Наверное, функция-заказчик.”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Владелец эффекта не назначен.</w:t>
            </w:r>
          </w:p>
        </w:tc>
      </w:tr>
      <w:tr>
        <w:tc>
          <w:tcPr>
            <w:tcW w:type="dxa" w:w="2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Какие данные нужны и кто отвечает за качество?</w:t>
            </w:r>
          </w:p>
        </w:tc>
        <w:tc>
          <w:tcPr>
            <w:tcW w:type="dxa" w:w="3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“Данные есть в разных системах.”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Доступность и качество данных не подтверждены.</w:t>
            </w:r>
          </w:p>
        </w:tc>
      </w:tr>
      <w:tr>
        <w:tc>
          <w:tcPr>
            <w:tcW w:type="dxa" w:w="2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Какой базовый показатель будет сравниваться?</w:t>
            </w:r>
          </w:p>
        </w:tc>
        <w:tc>
          <w:tcPr>
            <w:tcW w:type="dxa" w:w="3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“Надо будет посчитать.”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Нет исходной базы для проверки результата.</w:t>
            </w:r>
          </w:p>
        </w:tc>
      </w:tr>
      <w:tr>
        <w:tc>
          <w:tcPr>
            <w:tcW w:type="dxa" w:w="2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Кто будет пользоваться решением?</w:t>
            </w:r>
          </w:p>
        </w:tc>
        <w:tc>
          <w:tcPr>
            <w:tcW w:type="dxa" w:w="3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“Зависит от выбранного инструмента.”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Пользовательский контур не определен.</w:t>
            </w:r>
          </w:p>
        </w:tc>
      </w:tr>
    </w:tbl>
    <w:p>
      <w:pPr>
        <w:spacing w:after="60" w:line="250" w:lineRule="auto"/>
      </w:pPr>
    </w:p>
    <w:p>
      <w:pPr>
        <w:pStyle w:val="Heading1"/>
        <w:spacing w:after="80" w:before="180" w:line="259" w:lineRule="auto"/>
      </w:pPr>
      <w:r>
        <w:rPr>
          <w:rFonts w:ascii="Arial" w:hAnsi="Arial" w:eastAsia="Arial"/>
          <w:b/>
          <w:color w:val="0B1F33"/>
          <w:sz w:val="34"/>
        </w:rPr>
        <w:t>11. Управленческий комментарий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1"/>
        </w:rPr>
        <w:t>Для собственника неприятный, но полезный результат состоял в том, что проект “не начался”. Компания не получила красивый список ИИ-проектов и не перешла к внедрению. Но именно это сохранило управляемость: не были потрачены деньги, внимание руководителей и доверие команды на инициативы без условий готовности.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1"/>
        </w:rPr>
        <w:t>Сильная технология должна уметь остановить клиента. В этом кейсе AI-First Переход сработал не как ускоритель, а как фильтр: отделил желание внедрять ИИ от способности компании управлять таким переходом.</w:t>
      </w:r>
    </w:p>
    <w:p>
      <w:pPr>
        <w:pStyle w:val="Heading1"/>
        <w:spacing w:after="80" w:before="180" w:line="259" w:lineRule="auto"/>
      </w:pPr>
      <w:r>
        <w:rPr>
          <w:rFonts w:ascii="Arial" w:hAnsi="Arial" w:eastAsia="Arial"/>
          <w:b/>
          <w:color w:val="0B1F33"/>
          <w:sz w:val="34"/>
        </w:rPr>
        <w:t>12. Полевая версия вывода</w:t>
      </w:r>
    </w:p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F4EFE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1F33"/>
                <w:sz w:val="21"/>
              </w:rPr>
              <w:t xml:space="preserve">Вывод для клиента. </w:t>
            </w:r>
            <w:r>
              <w:rPr>
                <w:rFonts w:ascii="Arial" w:hAnsi="Arial"/>
                <w:color w:val="1F2A37"/>
                <w:sz w:val="21"/>
              </w:rPr>
              <w:t>Сейчас компании не нужно запускать AI-First Переход дальше. Сначала нужно подготовить управленческий контур: владельцев, данные, экономику, пользователей и право остановки. Повторный вход возможен только после устранения этих условий.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91" w:right="936" w:bottom="547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59" w:lineRule="auto"/>
      <w:jc w:val="right"/>
    </w:pPr>
    <w:r>
      <w:rPr>
        <w:rFonts w:ascii="Arial" w:hAnsi="Arial" w:eastAsia="Arial"/>
        <w:b w:val="0"/>
        <w:color w:val="667085"/>
        <w:sz w:val="17"/>
      </w:rPr>
      <w:t>AI-First Переход | кейс 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A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