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 w:line="250" w:lineRule="auto"/>
      </w:pPr>
      <w:r>
        <w:rPr>
          <w:rFonts w:ascii="Arial" w:hAnsi="Arial" w:eastAsia="Arial"/>
          <w:b w:val="0"/>
          <w:color w:val="667085"/>
          <w:sz w:val="18"/>
        </w:rPr>
        <w:t>C-Level Insight | AI-First Переход</w:t>
      </w:r>
    </w:p>
    <w:tbl>
      <w:tblPr>
        <w:tblW w:type="dxa" w:w="9000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shd w:fill="0B1F33"/>
            <w:tcBorders>
              <w:top w:val="single" w:sz="8" w:space="0" w:color="0B1F33"/>
              <w:left w:val="single" w:sz="8" w:space="0" w:color="0B1F33"/>
              <w:bottom w:val="single" w:sz="8" w:space="0" w:color="0B1F33"/>
              <w:right w:val="single" w:sz="8" w:space="0" w:color="0B1F33"/>
            </w:tcBorders>
            <w:tcMar>
              <w:top w:w="135" w:type="dxa"/>
              <w:start w:w="145" w:type="dxa"/>
              <w:bottom w:w="125" w:type="dxa"/>
              <w:end w:w="145" w:type="dxa"/>
            </w:tcMar>
          </w:tcPr>
          <w:p>
            <w:pPr>
              <w:spacing w:after="20" w:before="0" w:line="250" w:lineRule="auto"/>
            </w:pPr>
            <w:r>
              <w:rPr>
                <w:rFonts w:ascii="Arial" w:hAnsi="Arial" w:eastAsia="Arial"/>
                <w:b/>
                <w:color w:val="FFFFFF"/>
                <w:sz w:val="41"/>
              </w:rPr>
              <w:t>Кейс №6. Маркетинг генерировал контент быстрее, чем рос контроль</w:t>
            </w:r>
          </w:p>
          <w:p>
            <w:pPr>
              <w:spacing w:after="0" w:before="0" w:line="250" w:lineRule="auto"/>
            </w:pPr>
            <w:r>
              <w:rPr>
                <w:rFonts w:ascii="Arial" w:hAnsi="Arial" w:eastAsia="Arial"/>
                <w:b w:val="0"/>
                <w:color w:val="E8EEF5"/>
                <w:sz w:val="21"/>
              </w:rPr>
              <w:t>Как массовая генерация текстов была превращена в управляемый контур бренда, права и коммерческого смысла</w:t>
            </w:r>
          </w:p>
        </w:tc>
      </w:tr>
    </w:tbl>
    <w:tbl>
      <w:tblPr>
        <w:tblW w:type="dxa" w:w="9000"/>
        <w:jc w:val="left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shd w:fill="F4EFE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b/>
                <w:color w:val="0B1F33"/>
                <w:sz w:val="20"/>
              </w:rPr>
              <w:t xml:space="preserve">Короткий вывод. </w:t>
            </w:r>
            <w:r>
              <w:rPr>
                <w:rFonts w:ascii="Arial" w:hAnsi="Arial"/>
                <w:color w:val="1F2A37"/>
                <w:sz w:val="20"/>
              </w:rPr>
              <w:t>Массовый контент не является маркетинговым результатом. Технология помогла сохранить скорость генерации, но связать ее с брендом, юридической проверкой, владельцем канала и коммерческой задачей.</w:t>
            </w:r>
          </w:p>
        </w:tc>
      </w:tr>
    </w:tbl>
    <w:p>
      <w:pPr>
        <w:pStyle w:val="Heading1"/>
        <w:spacing w:after="80" w:before="180" w:line="250" w:lineRule="auto"/>
      </w:pPr>
      <w:r>
        <w:rPr>
          <w:rFonts w:ascii="Arial" w:hAnsi="Arial" w:eastAsia="Arial"/>
          <w:b/>
          <w:color w:val="0B1F33"/>
          <w:sz w:val="32"/>
        </w:rPr>
        <w:t>0. Паспорт кейса</w:t>
      </w:r>
    </w:p>
    <w:tbl>
      <w:tblPr>
        <w:tblStyle w:val="TableGrid"/>
        <w:tblW w:type="dxa" w:w="9000"/>
        <w:jc w:val="left"/>
        <w:tblLook w:firstColumn="1" w:firstRow="1" w:lastColumn="0" w:lastRow="0" w:noHBand="0" w:noVBand="1" w:val="04A0"/>
        <w:tblInd w:w="120" w:type="dxa"/>
      </w:tblPr>
      <w:tblGrid>
        <w:gridCol w:w="2550"/>
        <w:gridCol w:w="6450"/>
      </w:tblGrid>
      <w:tr>
        <w:tc>
          <w:tcPr>
            <w:tcW w:type="dxa" w:w="25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Параметр</w:t>
            </w:r>
          </w:p>
        </w:tc>
        <w:tc>
          <w:tcPr>
            <w:tcW w:type="dxa" w:w="64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Значение</w:t>
            </w:r>
          </w:p>
        </w:tc>
      </w:tr>
      <w:tr>
        <w:tc>
          <w:tcPr>
            <w:tcW w:type="dxa" w:w="25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Тип кейса</w:t>
            </w:r>
          </w:p>
        </w:tc>
        <w:tc>
          <w:tcPr>
            <w:tcW w:type="dxa" w:w="64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Обобщенный управленческий кейс применения AI-First Перехода в маркетинге и коммуникациях.</w:t>
            </w:r>
          </w:p>
        </w:tc>
      </w:tr>
      <w:tr>
        <w:tc>
          <w:tcPr>
            <w:tcW w:type="dxa" w:w="25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Компания</w:t>
            </w:r>
          </w:p>
        </w:tc>
        <w:tc>
          <w:tcPr>
            <w:tcW w:type="dxa" w:w="64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Производитель потребительских товаров: сети, маркетплейсы, сайт, социальные сети, региональные дилеры.</w:t>
            </w:r>
          </w:p>
        </w:tc>
      </w:tr>
      <w:tr>
        <w:tc>
          <w:tcPr>
            <w:tcW w:type="dxa" w:w="25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Контекст</w:t>
            </w:r>
          </w:p>
        </w:tc>
        <w:tc>
          <w:tcPr>
            <w:tcW w:type="dxa" w:w="64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Маркетинг начал массово использовать ИИ для описаний товаров, рекламных текстов, постов и рассылок.</w:t>
            </w:r>
          </w:p>
        </w:tc>
      </w:tr>
      <w:tr>
        <w:tc>
          <w:tcPr>
            <w:tcW w:type="dxa" w:w="25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Первичный симптом</w:t>
            </w:r>
          </w:p>
        </w:tc>
        <w:tc>
          <w:tcPr>
            <w:tcW w:type="dxa" w:w="64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Контента стало больше, но вырос риск разного тона бренда, неподтвержденных обещаний и юридически спорных формулировок.</w:t>
            </w:r>
          </w:p>
        </w:tc>
      </w:tr>
      <w:tr>
        <w:tc>
          <w:tcPr>
            <w:tcW w:type="dxa" w:w="25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Запрос клиента</w:t>
            </w:r>
          </w:p>
        </w:tc>
        <w:tc>
          <w:tcPr>
            <w:tcW w:type="dxa" w:w="64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Расширить ИИ-контент на все каналы и снизить нагрузку копирайтеров.</w:t>
            </w:r>
          </w:p>
        </w:tc>
      </w:tr>
      <w:tr>
        <w:tc>
          <w:tcPr>
            <w:tcW w:type="dxa" w:w="25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Итог технологии</w:t>
            </w:r>
          </w:p>
        </w:tc>
        <w:tc>
          <w:tcPr>
            <w:tcW w:type="dxa" w:w="64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Расширение разрешили только по каналам с правилами бренда, юридическими ограничениями и владельцем результата.</w:t>
            </w:r>
          </w:p>
        </w:tc>
      </w:tr>
      <w:tr>
        <w:tc>
          <w:tcPr>
            <w:tcW w:type="dxa" w:w="25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Хороший результат</w:t>
            </w:r>
          </w:p>
        </w:tc>
        <w:tc>
          <w:tcPr>
            <w:tcW w:type="dxa" w:w="64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ИИ стал производственным помощником маркетинга, но не источником неподтвержденных обещаний бренда.</w:t>
            </w:r>
          </w:p>
        </w:tc>
      </w:tr>
    </w:tbl>
    <w:p>
      <w:pPr>
        <w:spacing w:after="20"/>
      </w:pPr>
    </w:p>
    <w:p>
      <w:pPr>
        <w:pStyle w:val="Heading1"/>
        <w:spacing w:after="80" w:before="180" w:line="250" w:lineRule="auto"/>
      </w:pPr>
      <w:r>
        <w:rPr>
          <w:rFonts w:ascii="Arial" w:hAnsi="Arial" w:eastAsia="Arial"/>
          <w:b/>
          <w:color w:val="0B1F33"/>
          <w:sz w:val="32"/>
        </w:rPr>
        <w:t>1. Ситуация</w:t>
      </w:r>
    </w:p>
    <w:p>
      <w:pPr>
        <w:spacing w:after="60" w:before="0" w:line="250" w:lineRule="auto"/>
      </w:pPr>
      <w:r>
        <w:rPr>
          <w:rFonts w:ascii="Arial" w:hAnsi="Arial" w:eastAsia="Arial"/>
          <w:b w:val="0"/>
          <w:color w:val="1F2A37"/>
          <w:sz w:val="20"/>
        </w:rPr>
        <w:t>Маркетинг быстро увидел пользу ИИ: тексты для карточек товаров, рекламные варианты, посты и рассылки готовились быстрее. Руководитель маркетинга хотел закрепить это как новый стандарт работы команды.</w:t>
      </w:r>
    </w:p>
    <w:p>
      <w:pPr>
        <w:spacing w:after="60" w:before="0" w:line="250" w:lineRule="auto"/>
      </w:pPr>
      <w:r>
        <w:rPr>
          <w:rFonts w:ascii="Arial" w:hAnsi="Arial" w:eastAsia="Arial"/>
          <w:b w:val="0"/>
          <w:color w:val="1F2A37"/>
          <w:sz w:val="20"/>
        </w:rPr>
        <w:t>Но коммерческий директор, юрист и бренд-менеджер видели риски. В разных каналах появлялись разные обещания, часть формулировок была слишком сильной, а карточки товаров иногда подменяли реальные характеристики привлекательными, но неподтвержденными описаниями.</w:t>
      </w:r>
    </w:p>
    <w:p>
      <w:pPr>
        <w:spacing w:after="60" w:before="0" w:line="250" w:lineRule="auto"/>
      </w:pPr>
      <w:r>
        <w:rPr>
          <w:rFonts w:ascii="Arial" w:hAnsi="Arial" w:eastAsia="Arial"/>
          <w:b w:val="0"/>
          <w:color w:val="1F2A37"/>
          <w:sz w:val="20"/>
        </w:rPr>
        <w:t>До технологии спор шел вокруг вопроса “разрешить или запретить ИИ-контент”. После Диагностики стало понятно: нужно не запрещать инструмент, а создать управляемый контур каналов, ролей, ограничений и проверки.</w:t>
      </w:r>
    </w:p>
    <w:p>
      <w:r>
        <w:br w:type="page"/>
      </w:r>
    </w:p>
    <w:p>
      <w:pPr>
        <w:pStyle w:val="Heading1"/>
        <w:spacing w:after="80" w:before="180" w:line="250" w:lineRule="auto"/>
      </w:pPr>
      <w:r>
        <w:rPr>
          <w:rFonts w:ascii="Arial" w:hAnsi="Arial" w:eastAsia="Arial"/>
          <w:b/>
          <w:color w:val="0B1F33"/>
          <w:sz w:val="32"/>
        </w:rPr>
        <w:t>2. Первичная ошибка клиента</w:t>
      </w:r>
    </w:p>
    <w:tbl>
      <w:tblPr>
        <w:tblStyle w:val="TableGrid"/>
        <w:tblW w:type="dxa" w:w="9000"/>
        <w:jc w:val="left"/>
        <w:tblLook w:firstColumn="1" w:firstRow="1" w:lastColumn="0" w:lastRow="0" w:noHBand="0" w:noVBand="1" w:val="04A0"/>
        <w:tblInd w:w="120" w:type="dxa"/>
      </w:tblPr>
      <w:tblGrid>
        <w:gridCol w:w="2800"/>
        <w:gridCol w:w="3100"/>
        <w:gridCol w:w="3100"/>
      </w:tblGrid>
      <w:tr>
        <w:tc>
          <w:tcPr>
            <w:tcW w:type="dxa" w:w="2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Что думали до Диагностики</w:t>
            </w:r>
          </w:p>
        </w:tc>
        <w:tc>
          <w:tcPr>
            <w:tcW w:type="dxa" w:w="31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Что проверила Диагностика</w:t>
            </w:r>
          </w:p>
        </w:tc>
        <w:tc>
          <w:tcPr>
            <w:tcW w:type="dxa" w:w="31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Что оказалось</w:t>
            </w:r>
          </w:p>
        </w:tc>
      </w:tr>
      <w:tr>
        <w:tc>
          <w:tcPr>
            <w:tcW w:type="dxa" w:w="2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ИИ дает маркетингу масштаб и скорость.</w:t>
            </w:r>
          </w:p>
        </w:tc>
        <w:tc>
          <w:tcPr>
            <w:tcW w:type="dxa" w:w="31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Связана ли скорость с брендом, правом и коммерческой задачей.</w:t>
            </w:r>
          </w:p>
        </w:tc>
        <w:tc>
          <w:tcPr>
            <w:tcW w:type="dxa" w:w="31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Контента стало больше, но контроль смысла отставал.</w:t>
            </w:r>
          </w:p>
        </w:tc>
      </w:tr>
      <w:tr>
        <w:tc>
          <w:tcPr>
            <w:tcW w:type="dxa" w:w="2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Копирайтеры должны только править тексты.</w:t>
            </w:r>
          </w:p>
        </w:tc>
        <w:tc>
          <w:tcPr>
            <w:tcW w:type="dxa" w:w="31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Кто владеет обещанием бренда и фактической достоверностью.</w:t>
            </w:r>
          </w:p>
        </w:tc>
        <w:tc>
          <w:tcPr>
            <w:tcW w:type="dxa" w:w="31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Правка текста не заменяет ответственность за обещание клиенту.</w:t>
            </w:r>
          </w:p>
        </w:tc>
      </w:tr>
      <w:tr>
        <w:tc>
          <w:tcPr>
            <w:tcW w:type="dxa" w:w="2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Можно использовать один подход для всех каналов.</w:t>
            </w:r>
          </w:p>
        </w:tc>
        <w:tc>
          <w:tcPr>
            <w:tcW w:type="dxa" w:w="31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Есть ли разные риски для карточек, рекламы, рассылок и социальных сетей.</w:t>
            </w:r>
          </w:p>
        </w:tc>
        <w:tc>
          <w:tcPr>
            <w:tcW w:type="dxa" w:w="31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Каналы требовали разных правил проверки.</w:t>
            </w:r>
          </w:p>
        </w:tc>
      </w:tr>
      <w:tr>
        <w:tc>
          <w:tcPr>
            <w:tcW w:type="dxa" w:w="2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Главное - снизить нагрузку команды.</w:t>
            </w:r>
          </w:p>
        </w:tc>
        <w:tc>
          <w:tcPr>
            <w:tcW w:type="dxa" w:w="31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Что будет считаться результатом: объем, качество, конверсия, риск или скорость.</w:t>
            </w:r>
          </w:p>
        </w:tc>
        <w:tc>
          <w:tcPr>
            <w:tcW w:type="dxa" w:w="31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Нагрузка снижалась, но рос риск неконтролируемых обещаний.</w:t>
            </w:r>
          </w:p>
        </w:tc>
      </w:tr>
    </w:tbl>
    <w:p>
      <w:pPr>
        <w:spacing w:after="20"/>
      </w:pPr>
    </w:p>
    <w:p>
      <w:pPr>
        <w:pStyle w:val="Heading1"/>
        <w:spacing w:after="80" w:before="180" w:line="250" w:lineRule="auto"/>
      </w:pPr>
      <w:r>
        <w:rPr>
          <w:rFonts w:ascii="Arial" w:hAnsi="Arial" w:eastAsia="Arial"/>
          <w:b/>
          <w:color w:val="0B1F33"/>
          <w:sz w:val="32"/>
        </w:rPr>
        <w:t>3. Диагностика: что проверили</w:t>
      </w:r>
    </w:p>
    <w:tbl>
      <w:tblPr>
        <w:tblStyle w:val="TableGrid"/>
        <w:tblW w:type="dxa" w:w="9000"/>
        <w:jc w:val="left"/>
        <w:tblLook w:firstColumn="1" w:firstRow="1" w:lastColumn="0" w:lastRow="0" w:noHBand="0" w:noVBand="1" w:val="04A0"/>
        <w:tblInd w:w="120" w:type="dxa"/>
      </w:tblPr>
      <w:tblGrid>
        <w:gridCol w:w="1700"/>
        <w:gridCol w:w="3650"/>
        <w:gridCol w:w="3650"/>
      </w:tblGrid>
      <w:tr>
        <w:tc>
          <w:tcPr>
            <w:tcW w:type="dxa" w:w="17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Контур</w:t>
            </w:r>
          </w:p>
        </w:tc>
        <w:tc>
          <w:tcPr>
            <w:tcW w:type="dxa" w:w="36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Что проверяли</w:t>
            </w:r>
          </w:p>
        </w:tc>
        <w:tc>
          <w:tcPr>
            <w:tcW w:type="dxa" w:w="36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Вывод</w:t>
            </w:r>
          </w:p>
        </w:tc>
      </w:tr>
      <w:tr>
        <w:tc>
          <w:tcPr>
            <w:tcW w:type="dxa" w:w="17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Владелец эффекта</w:t>
            </w:r>
          </w:p>
        </w:tc>
        <w:tc>
          <w:tcPr>
            <w:tcW w:type="dxa" w:w="36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Кто отвечает за результат по каждому каналу.</w:t>
            </w:r>
          </w:p>
        </w:tc>
        <w:tc>
          <w:tcPr>
            <w:tcW w:type="dxa" w:w="36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Нужен владелец канала, а не общий владелец “ИИ-контента”.</w:t>
            </w:r>
          </w:p>
        </w:tc>
      </w:tr>
      <w:tr>
        <w:tc>
          <w:tcPr>
            <w:tcW w:type="dxa" w:w="17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Данные</w:t>
            </w:r>
          </w:p>
        </w:tc>
        <w:tc>
          <w:tcPr>
            <w:tcW w:type="dxa" w:w="36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Какие факты о продукте можно использовать в текстах.</w:t>
            </w:r>
          </w:p>
        </w:tc>
        <w:tc>
          <w:tcPr>
            <w:tcW w:type="dxa" w:w="36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Нужно отделить подтвержденные характеристики от маркетинговых гипотез.</w:t>
            </w:r>
          </w:p>
        </w:tc>
      </w:tr>
      <w:tr>
        <w:tc>
          <w:tcPr>
            <w:tcW w:type="dxa" w:w="17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Риск</w:t>
            </w:r>
          </w:p>
        </w:tc>
        <w:tc>
          <w:tcPr>
            <w:tcW w:type="dxa" w:w="36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Какие обещания нельзя публиковать без юридической или продуктовой проверки.</w:t>
            </w:r>
          </w:p>
        </w:tc>
        <w:tc>
          <w:tcPr>
            <w:tcW w:type="dxa" w:w="36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Требуются запреты на неподтвержденные свойства и обещания результата.</w:t>
            </w:r>
          </w:p>
        </w:tc>
      </w:tr>
      <w:tr>
        <w:tc>
          <w:tcPr>
            <w:tcW w:type="dxa" w:w="17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Качество</w:t>
            </w:r>
          </w:p>
        </w:tc>
        <w:tc>
          <w:tcPr>
            <w:tcW w:type="dxa" w:w="36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Как проверять текст: бренд, факт, право, коммерческая задача.</w:t>
            </w:r>
          </w:p>
        </w:tc>
        <w:tc>
          <w:tcPr>
            <w:tcW w:type="dxa" w:w="36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Нужен проверочный список перед публикацией.</w:t>
            </w:r>
          </w:p>
        </w:tc>
      </w:tr>
      <w:tr>
        <w:tc>
          <w:tcPr>
            <w:tcW w:type="dxa" w:w="17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Люди</w:t>
            </w:r>
          </w:p>
        </w:tc>
        <w:tc>
          <w:tcPr>
            <w:tcW w:type="dxa" w:w="36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Как меняется роль маркетолога.</w:t>
            </w:r>
          </w:p>
        </w:tc>
        <w:tc>
          <w:tcPr>
            <w:tcW w:type="dxa" w:w="36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Маркетолог становится владельцем смысла и проверки, а не просто редактором ИИ-текста.</w:t>
            </w:r>
          </w:p>
        </w:tc>
      </w:tr>
    </w:tbl>
    <w:p>
      <w:pPr>
        <w:spacing w:after="20"/>
      </w:pPr>
    </w:p>
    <w:p>
      <w:pPr>
        <w:pStyle w:val="Heading1"/>
        <w:spacing w:after="80" w:before="180" w:line="250" w:lineRule="auto"/>
      </w:pPr>
      <w:r>
        <w:rPr>
          <w:rFonts w:ascii="Arial" w:hAnsi="Arial" w:eastAsia="Arial"/>
          <w:b/>
          <w:color w:val="0B1F33"/>
          <w:sz w:val="32"/>
        </w:rPr>
        <w:t>4. Вердикт готовности</w:t>
      </w:r>
    </w:p>
    <w:tbl>
      <w:tblPr>
        <w:tblW w:type="dxa" w:w="9000"/>
        <w:jc w:val="left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shd w:fill="FFF3E8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b/>
                <w:color w:val="0B1F33"/>
                <w:sz w:val="20"/>
              </w:rPr>
              <w:t xml:space="preserve">Вердикт. </w:t>
            </w:r>
            <w:r>
              <w:rPr>
                <w:rFonts w:ascii="Arial" w:hAnsi="Arial"/>
                <w:color w:val="1F2A37"/>
                <w:sz w:val="20"/>
              </w:rPr>
              <w:t>Переходить к Сессии можно, но массовое расширение ИИ-контента запрещено до закрепления правил: владельцы каналов, подтвержденные факты, юридические ограничения, бренд-тон и условия остановки публикации.</w:t>
            </w:r>
          </w:p>
        </w:tc>
      </w:tr>
    </w:tbl>
    <w:tbl>
      <w:tblPr>
        <w:tblStyle w:val="TableGrid"/>
        <w:tblW w:type="dxa" w:w="9000"/>
        <w:jc w:val="left"/>
        <w:tblLook w:firstColumn="1" w:firstRow="1" w:lastColumn="0" w:lastRow="0" w:noHBand="0" w:noVBand="1" w:val="04A0"/>
        <w:tblInd w:w="120" w:type="dxa"/>
      </w:tblPr>
      <w:tblGrid>
        <w:gridCol w:w="2200"/>
        <w:gridCol w:w="2000"/>
        <w:gridCol w:w="4800"/>
      </w:tblGrid>
      <w:tr>
        <w:tc>
          <w:tcPr>
            <w:tcW w:type="dxa" w:w="22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Критерий</w:t>
            </w:r>
          </w:p>
        </w:tc>
        <w:tc>
          <w:tcPr>
            <w:tcW w:type="dxa" w:w="20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Статус</w:t>
            </w:r>
          </w:p>
        </w:tc>
        <w:tc>
          <w:tcPr>
            <w:tcW w:type="dxa" w:w="4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Решение</w:t>
            </w:r>
          </w:p>
        </w:tc>
      </w:tr>
      <w:tr>
        <w:tc>
          <w:tcPr>
            <w:tcW w:type="dxa" w:w="22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Мандат</w:t>
            </w:r>
          </w:p>
        </w:tc>
        <w:tc>
          <w:tcPr>
            <w:tcW w:type="dxa" w:w="20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Подтвержден при условиях</w:t>
            </w:r>
          </w:p>
        </w:tc>
        <w:tc>
          <w:tcPr>
            <w:tcW w:type="dxa" w:w="4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Маркетинг владеет скоростью, бренд и юристы получают право остановки спорного контента.</w:t>
            </w:r>
          </w:p>
        </w:tc>
      </w:tr>
      <w:tr>
        <w:tc>
          <w:tcPr>
            <w:tcW w:type="dxa" w:w="22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Данные</w:t>
            </w:r>
          </w:p>
        </w:tc>
        <w:tc>
          <w:tcPr>
            <w:tcW w:type="dxa" w:w="20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Частично подтверждены</w:t>
            </w:r>
          </w:p>
        </w:tc>
        <w:tc>
          <w:tcPr>
            <w:tcW w:type="dxa" w:w="4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Нужна база подтвержденных характеристик продуктов и запретных формулировок.</w:t>
            </w:r>
          </w:p>
        </w:tc>
      </w:tr>
      <w:tr>
        <w:tc>
          <w:tcPr>
            <w:tcW w:type="dxa" w:w="22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Экономическая логика</w:t>
            </w:r>
          </w:p>
        </w:tc>
        <w:tc>
          <w:tcPr>
            <w:tcW w:type="dxa" w:w="20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Подтверждена частично</w:t>
            </w:r>
          </w:p>
        </w:tc>
        <w:tc>
          <w:tcPr>
            <w:tcW w:type="dxa" w:w="4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Эффект проверяется по качеству канала, скорости подготовки и снижению переделок, без обещания роста продаж.</w:t>
            </w:r>
          </w:p>
        </w:tc>
      </w:tr>
      <w:tr>
        <w:tc>
          <w:tcPr>
            <w:tcW w:type="dxa" w:w="22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Условия остановки</w:t>
            </w:r>
          </w:p>
        </w:tc>
        <w:tc>
          <w:tcPr>
            <w:tcW w:type="dxa" w:w="20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Заданы</w:t>
            </w:r>
          </w:p>
        </w:tc>
        <w:tc>
          <w:tcPr>
            <w:tcW w:type="dxa" w:w="4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Публикация останавливается при неподтвержденном факте, нарушении тона бренда или юридическом риске.</w:t>
            </w:r>
          </w:p>
        </w:tc>
      </w:tr>
    </w:tbl>
    <w:p>
      <w:pPr>
        <w:spacing w:after="20"/>
      </w:pPr>
    </w:p>
    <w:p>
      <w:pPr>
        <w:pStyle w:val="Heading1"/>
        <w:spacing w:after="80" w:before="180" w:line="250" w:lineRule="auto"/>
      </w:pPr>
      <w:r>
        <w:rPr>
          <w:rFonts w:ascii="Arial" w:hAnsi="Arial" w:eastAsia="Arial"/>
          <w:b/>
          <w:color w:val="0B1F33"/>
          <w:sz w:val="32"/>
        </w:rPr>
        <w:t>5. Сессия: активный набор</w:t>
      </w:r>
    </w:p>
    <w:tbl>
      <w:tblPr>
        <w:tblStyle w:val="TableGrid"/>
        <w:tblW w:type="dxa" w:w="9000"/>
        <w:jc w:val="left"/>
        <w:tblLook w:firstColumn="1" w:firstRow="1" w:lastColumn="0" w:lastRow="0" w:noHBand="0" w:noVBand="1" w:val="04A0"/>
        <w:tblInd w:w="120" w:type="dxa"/>
      </w:tblPr>
      <w:tblGrid>
        <w:gridCol w:w="3500"/>
        <w:gridCol w:w="1900"/>
        <w:gridCol w:w="3600"/>
      </w:tblGrid>
      <w:tr>
        <w:tc>
          <w:tcPr>
            <w:tcW w:type="dxa" w:w="3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Вариант применения ИИ</w:t>
            </w:r>
          </w:p>
        </w:tc>
        <w:tc>
          <w:tcPr>
            <w:tcW w:type="dxa" w:w="19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Статус</w:t>
            </w:r>
          </w:p>
        </w:tc>
        <w:tc>
          <w:tcPr>
            <w:tcW w:type="dxa" w:w="36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Почему</w:t>
            </w:r>
          </w:p>
        </w:tc>
      </w:tr>
      <w:tr>
        <w:tc>
          <w:tcPr>
            <w:tcW w:type="dxa" w:w="3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Черновики карточек товаров на основе подтвержденных характеристик</w:t>
            </w:r>
          </w:p>
        </w:tc>
        <w:tc>
          <w:tcPr>
            <w:tcW w:type="dxa" w:w="19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В активный набор</w:t>
            </w:r>
          </w:p>
        </w:tc>
        <w:tc>
          <w:tcPr>
            <w:tcW w:type="dxa" w:w="36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Есть фактическая база и понятная проверка.</w:t>
            </w:r>
          </w:p>
        </w:tc>
      </w:tr>
      <w:tr>
        <w:tc>
          <w:tcPr>
            <w:tcW w:type="dxa" w:w="3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Варианты рекламных текстов внутри бренд-ограничений</w:t>
            </w:r>
          </w:p>
        </w:tc>
        <w:tc>
          <w:tcPr>
            <w:tcW w:type="dxa" w:w="19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В активный набор</w:t>
            </w:r>
          </w:p>
        </w:tc>
        <w:tc>
          <w:tcPr>
            <w:tcW w:type="dxa" w:w="36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Снижает рутину, но требует финального владельца канала.</w:t>
            </w:r>
          </w:p>
        </w:tc>
      </w:tr>
      <w:tr>
        <w:tc>
          <w:tcPr>
            <w:tcW w:type="dxa" w:w="3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Проверочный список риска перед публикацией</w:t>
            </w:r>
          </w:p>
        </w:tc>
        <w:tc>
          <w:tcPr>
            <w:tcW w:type="dxa" w:w="19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В активный набор</w:t>
            </w:r>
          </w:p>
        </w:tc>
        <w:tc>
          <w:tcPr>
            <w:tcW w:type="dxa" w:w="36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Связывает скорость с брендом, правом и фактом.</w:t>
            </w:r>
          </w:p>
        </w:tc>
      </w:tr>
      <w:tr>
        <w:tc>
          <w:tcPr>
            <w:tcW w:type="dxa" w:w="3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Автоматическая публикация без проверки</w:t>
            </w:r>
          </w:p>
        </w:tc>
        <w:tc>
          <w:tcPr>
            <w:tcW w:type="dxa" w:w="19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Запрещено</w:t>
            </w:r>
          </w:p>
        </w:tc>
        <w:tc>
          <w:tcPr>
            <w:tcW w:type="dxa" w:w="36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Высокий риск неподтвержденного обещания.</w:t>
            </w:r>
          </w:p>
        </w:tc>
      </w:tr>
      <w:tr>
        <w:tc>
          <w:tcPr>
            <w:tcW w:type="dxa" w:w="3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Генерация экспертных утверждений о продукте</w:t>
            </w:r>
          </w:p>
        </w:tc>
        <w:tc>
          <w:tcPr>
            <w:tcW w:type="dxa" w:w="19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Отложено</w:t>
            </w:r>
          </w:p>
        </w:tc>
        <w:tc>
          <w:tcPr>
            <w:tcW w:type="dxa" w:w="36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Нужна база доказательств и профильная проверка.</w:t>
            </w:r>
          </w:p>
        </w:tc>
      </w:tr>
    </w:tbl>
    <w:p>
      <w:pPr>
        <w:spacing w:after="20"/>
      </w:pPr>
    </w:p>
    <w:p>
      <w:pPr>
        <w:pStyle w:val="Heading1"/>
        <w:spacing w:after="80" w:before="180" w:line="250" w:lineRule="auto"/>
      </w:pPr>
      <w:r>
        <w:rPr>
          <w:rFonts w:ascii="Arial" w:hAnsi="Arial" w:eastAsia="Arial"/>
          <w:b/>
          <w:color w:val="0B1F33"/>
          <w:sz w:val="32"/>
        </w:rPr>
        <w:t>6. Спринт реализации</w:t>
      </w:r>
    </w:p>
    <w:tbl>
      <w:tblPr>
        <w:tblStyle w:val="TableGrid"/>
        <w:tblW w:type="dxa" w:w="9000"/>
        <w:jc w:val="left"/>
        <w:tblLook w:firstColumn="1" w:firstRow="1" w:lastColumn="0" w:lastRow="0" w:noHBand="0" w:noVBand="1" w:val="04A0"/>
        <w:tblInd w:w="120" w:type="dxa"/>
      </w:tblPr>
      <w:tblGrid>
        <w:gridCol w:w="2300"/>
        <w:gridCol w:w="3300"/>
        <w:gridCol w:w="3400"/>
      </w:tblGrid>
      <w:tr>
        <w:tc>
          <w:tcPr>
            <w:tcW w:type="dxa" w:w="23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Что проверяли</w:t>
            </w:r>
          </w:p>
        </w:tc>
        <w:tc>
          <w:tcPr>
            <w:tcW w:type="dxa" w:w="33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Как проверяли</w:t>
            </w:r>
          </w:p>
        </w:tc>
        <w:tc>
          <w:tcPr>
            <w:tcW w:type="dxa" w:w="34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Что получили</w:t>
            </w:r>
          </w:p>
        </w:tc>
      </w:tr>
      <w:tr>
        <w:tc>
          <w:tcPr>
            <w:tcW w:type="dxa" w:w="23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Качество фактов</w:t>
            </w:r>
          </w:p>
        </w:tc>
        <w:tc>
          <w:tcPr>
            <w:tcW w:type="dxa" w:w="33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Каждый текст сверялся с базой подтвержденных характеристик.</w:t>
            </w:r>
          </w:p>
        </w:tc>
        <w:tc>
          <w:tcPr>
            <w:tcW w:type="dxa" w:w="34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Команда отделила факт продукта от рекламного усиления.</w:t>
            </w:r>
          </w:p>
        </w:tc>
      </w:tr>
      <w:tr>
        <w:tc>
          <w:tcPr>
            <w:tcW w:type="dxa" w:w="23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Тон бренда</w:t>
            </w:r>
          </w:p>
        </w:tc>
        <w:tc>
          <w:tcPr>
            <w:tcW w:type="dxa" w:w="33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Бренд-менеджер проверял отклонения по каналу.</w:t>
            </w:r>
          </w:p>
        </w:tc>
        <w:tc>
          <w:tcPr>
            <w:tcW w:type="dxa" w:w="34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Появились правила, где ИИ может варьировать стиль, а где нет.</w:t>
            </w:r>
          </w:p>
        </w:tc>
      </w:tr>
      <w:tr>
        <w:tc>
          <w:tcPr>
            <w:tcW w:type="dxa" w:w="23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Юридический риск</w:t>
            </w:r>
          </w:p>
        </w:tc>
        <w:tc>
          <w:tcPr>
            <w:tcW w:type="dxa" w:w="33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Спорные обещания проходили ручную проверку.</w:t>
            </w:r>
          </w:p>
        </w:tc>
        <w:tc>
          <w:tcPr>
            <w:tcW w:type="dxa" w:w="34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Часть формулировок попала в список запрета.</w:t>
            </w:r>
          </w:p>
        </w:tc>
      </w:tr>
      <w:tr>
        <w:tc>
          <w:tcPr>
            <w:tcW w:type="dxa" w:w="23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Роль маркетолога</w:t>
            </w:r>
          </w:p>
        </w:tc>
        <w:tc>
          <w:tcPr>
            <w:tcW w:type="dxa" w:w="33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Маркетолог отвечал за смысл, канал и финальную публикацию.</w:t>
            </w:r>
          </w:p>
        </w:tc>
        <w:tc>
          <w:tcPr>
            <w:tcW w:type="dxa" w:w="34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ИИ стал помощником, но не автором ответственности.</w:t>
            </w:r>
          </w:p>
        </w:tc>
      </w:tr>
    </w:tbl>
    <w:p>
      <w:pPr>
        <w:spacing w:after="20"/>
      </w:pPr>
    </w:p>
    <w:p>
      <w:pPr>
        <w:pStyle w:val="Heading1"/>
        <w:spacing w:after="80" w:before="180" w:line="250" w:lineRule="auto"/>
      </w:pPr>
      <w:r>
        <w:rPr>
          <w:rFonts w:ascii="Arial" w:hAnsi="Arial" w:eastAsia="Arial"/>
          <w:b/>
          <w:color w:val="0B1F33"/>
          <w:sz w:val="32"/>
        </w:rPr>
        <w:t>7. Сопровождение: как закрепили результат</w:t>
      </w:r>
    </w:p>
    <w:p>
      <w:pPr>
        <w:pStyle w:val="ListBullet"/>
        <w:spacing w:after="20" w:before="0" w:line="245" w:lineRule="auto"/>
        <w:ind w:left="360" w:hanging="173"/>
      </w:pPr>
      <w:r>
        <w:rPr>
          <w:rFonts w:ascii="Arial" w:hAnsi="Arial" w:eastAsia="Arial"/>
          <w:b w:val="0"/>
          <w:color w:val="1F2A37"/>
          <w:sz w:val="19"/>
        </w:rPr>
        <w:t>Еженедельно проверялись опубликованные материалы и причины ручных правок.</w:t>
      </w:r>
    </w:p>
    <w:p>
      <w:pPr>
        <w:pStyle w:val="ListBullet"/>
        <w:spacing w:after="20" w:before="0" w:line="245" w:lineRule="auto"/>
        <w:ind w:left="360" w:hanging="173"/>
      </w:pPr>
      <w:r>
        <w:rPr>
          <w:rFonts w:ascii="Arial" w:hAnsi="Arial" w:eastAsia="Arial"/>
          <w:b w:val="0"/>
          <w:color w:val="1F2A37"/>
          <w:sz w:val="19"/>
        </w:rPr>
        <w:t>База подтвержденных характеристик обновлялась при изменении продукта или канала.</w:t>
      </w:r>
    </w:p>
    <w:p>
      <w:pPr>
        <w:pStyle w:val="ListBullet"/>
        <w:spacing w:after="20" w:before="0" w:line="245" w:lineRule="auto"/>
        <w:ind w:left="360" w:hanging="173"/>
      </w:pPr>
      <w:r>
        <w:rPr>
          <w:rFonts w:ascii="Arial" w:hAnsi="Arial" w:eastAsia="Arial"/>
          <w:b w:val="0"/>
          <w:color w:val="1F2A37"/>
          <w:sz w:val="19"/>
        </w:rPr>
        <w:t>Юристы и бренд-менеджер получили право остановки спорного текста до публикации.</w:t>
      </w:r>
    </w:p>
    <w:p>
      <w:pPr>
        <w:pStyle w:val="ListBullet"/>
        <w:spacing w:after="20" w:before="0" w:line="245" w:lineRule="auto"/>
        <w:ind w:left="360" w:hanging="173"/>
      </w:pPr>
      <w:r>
        <w:rPr>
          <w:rFonts w:ascii="Arial" w:hAnsi="Arial" w:eastAsia="Arial"/>
          <w:b w:val="0"/>
          <w:color w:val="1F2A37"/>
          <w:sz w:val="19"/>
        </w:rPr>
        <w:t>Новые каналы подключались только после проверки правил, а не по желанию ускорить выпуск контента.</w:t>
      </w:r>
    </w:p>
    <w:p>
      <w:pPr>
        <w:pStyle w:val="Heading1"/>
        <w:spacing w:after="80" w:before="180" w:line="250" w:lineRule="auto"/>
      </w:pPr>
      <w:r>
        <w:rPr>
          <w:rFonts w:ascii="Arial" w:hAnsi="Arial" w:eastAsia="Arial"/>
          <w:b/>
          <w:color w:val="0B1F33"/>
          <w:sz w:val="32"/>
        </w:rPr>
        <w:t>8. До / После</w:t>
      </w:r>
    </w:p>
    <w:tbl>
      <w:tblPr>
        <w:tblStyle w:val="TableGrid"/>
        <w:tblW w:type="dxa" w:w="9000"/>
        <w:jc w:val="left"/>
        <w:tblLook w:firstColumn="1" w:firstRow="1" w:lastColumn="0" w:lastRow="0" w:noHBand="0" w:noVBand="1" w:val="04A0"/>
        <w:tblInd w:w="120" w:type="dxa"/>
      </w:tblPr>
      <w:tblGrid>
        <w:gridCol w:w="4500"/>
        <w:gridCol w:w="4500"/>
      </w:tblGrid>
      <w:tr>
        <w:tc>
          <w:tcPr>
            <w:tcW w:type="dxa" w:w="4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До технологии</w:t>
            </w:r>
          </w:p>
        </w:tc>
        <w:tc>
          <w:tcPr>
            <w:tcW w:type="dxa" w:w="4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После технологии</w:t>
            </w:r>
          </w:p>
        </w:tc>
      </w:tr>
      <w:tr>
        <w:tc>
          <w:tcPr>
            <w:tcW w:type="dxa" w:w="4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ИИ увеличивал объем текстов.</w:t>
            </w:r>
          </w:p>
        </w:tc>
        <w:tc>
          <w:tcPr>
            <w:tcW w:type="dxa" w:w="4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ИИ стал частью управляемого контура публикации.</w:t>
            </w:r>
          </w:p>
        </w:tc>
      </w:tr>
      <w:tr>
        <w:tc>
          <w:tcPr>
            <w:tcW w:type="dxa" w:w="4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Контроль бренда и права шел после факта.</w:t>
            </w:r>
          </w:p>
        </w:tc>
        <w:tc>
          <w:tcPr>
            <w:tcW w:type="dxa" w:w="4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Проверка встроена до публикации.</w:t>
            </w:r>
          </w:p>
        </w:tc>
      </w:tr>
      <w:tr>
        <w:tc>
          <w:tcPr>
            <w:tcW w:type="dxa" w:w="4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Маркетологи спорили, можно ли доверять ИИ.</w:t>
            </w:r>
          </w:p>
        </w:tc>
        <w:tc>
          <w:tcPr>
            <w:tcW w:type="dxa" w:w="4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Команда знает, где ИИ помогает, а где запрещен.</w:t>
            </w:r>
          </w:p>
        </w:tc>
      </w:tr>
      <w:tr>
        <w:tc>
          <w:tcPr>
            <w:tcW w:type="dxa" w:w="4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Каналы использовали разные правила.</w:t>
            </w:r>
          </w:p>
        </w:tc>
        <w:tc>
          <w:tcPr>
            <w:tcW w:type="dxa" w:w="4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У каждого канала появился владелец, границы и условия остановки.</w:t>
            </w:r>
          </w:p>
        </w:tc>
      </w:tr>
    </w:tbl>
    <w:p>
      <w:pPr>
        <w:spacing w:after="20"/>
      </w:pPr>
    </w:p>
    <w:p>
      <w:pPr>
        <w:pStyle w:val="Heading1"/>
        <w:spacing w:after="80" w:before="180" w:line="250" w:lineRule="auto"/>
      </w:pPr>
      <w:r>
        <w:rPr>
          <w:rFonts w:ascii="Arial" w:hAnsi="Arial" w:eastAsia="Arial"/>
          <w:b/>
          <w:color w:val="0B1F33"/>
          <w:sz w:val="32"/>
        </w:rPr>
        <w:t>9. Артефакты, которые остались у клиента</w:t>
      </w:r>
    </w:p>
    <w:tbl>
      <w:tblPr>
        <w:tblStyle w:val="TableGrid"/>
        <w:tblW w:type="dxa" w:w="9000"/>
        <w:jc w:val="left"/>
        <w:tblLook w:firstColumn="1" w:firstRow="1" w:lastColumn="0" w:lastRow="0" w:noHBand="0" w:noVBand="1" w:val="04A0"/>
        <w:tblInd w:w="120" w:type="dxa"/>
      </w:tblPr>
      <w:tblGrid>
        <w:gridCol w:w="3200"/>
        <w:gridCol w:w="5800"/>
      </w:tblGrid>
      <w:tr>
        <w:tc>
          <w:tcPr>
            <w:tcW w:type="dxa" w:w="32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Артефакт</w:t>
            </w:r>
          </w:p>
        </w:tc>
        <w:tc>
          <w:tcPr>
            <w:tcW w:type="dxa" w:w="5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Зачем остался</w:t>
            </w:r>
          </w:p>
        </w:tc>
      </w:tr>
      <w:tr>
        <w:tc>
          <w:tcPr>
            <w:tcW w:type="dxa" w:w="32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Протокол активного набора</w:t>
            </w:r>
          </w:p>
        </w:tc>
        <w:tc>
          <w:tcPr>
            <w:tcW w:type="dxa" w:w="5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Закрепил 3 разрешенных варианта, 1 запрет и 1 отложенную зону.</w:t>
            </w:r>
          </w:p>
        </w:tc>
      </w:tr>
      <w:tr>
        <w:tc>
          <w:tcPr>
            <w:tcW w:type="dxa" w:w="32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База подтвержденных характеристик</w:t>
            </w:r>
          </w:p>
        </w:tc>
        <w:tc>
          <w:tcPr>
            <w:tcW w:type="dxa" w:w="5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Стала источником фактов для ИИ-текстов.</w:t>
            </w:r>
          </w:p>
        </w:tc>
      </w:tr>
      <w:tr>
        <w:tc>
          <w:tcPr>
            <w:tcW w:type="dxa" w:w="32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Список запретных формулировок</w:t>
            </w:r>
          </w:p>
        </w:tc>
        <w:tc>
          <w:tcPr>
            <w:tcW w:type="dxa" w:w="5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Снизил риск неподтвержденных обещаний.</w:t>
            </w:r>
          </w:p>
        </w:tc>
      </w:tr>
      <w:tr>
        <w:tc>
          <w:tcPr>
            <w:tcW w:type="dxa" w:w="32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Проверочный список публикации</w:t>
            </w:r>
          </w:p>
        </w:tc>
        <w:tc>
          <w:tcPr>
            <w:tcW w:type="dxa" w:w="5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Связал бренд, право, факт и коммерческую задачу.</w:t>
            </w:r>
          </w:p>
        </w:tc>
      </w:tr>
      <w:tr>
        <w:tc>
          <w:tcPr>
            <w:tcW w:type="dxa" w:w="32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Отчет контроля внедрения</w:t>
            </w:r>
          </w:p>
        </w:tc>
        <w:tc>
          <w:tcPr>
            <w:tcW w:type="dxa" w:w="5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Показал, какие каналы готовы к расширению, а какие нет.</w:t>
            </w:r>
          </w:p>
        </w:tc>
      </w:tr>
    </w:tbl>
    <w:p>
      <w:pPr>
        <w:spacing w:after="20"/>
      </w:pPr>
    </w:p>
    <w:p>
      <w:pPr>
        <w:pStyle w:val="Heading1"/>
        <w:spacing w:after="80" w:before="180" w:line="250" w:lineRule="auto"/>
      </w:pPr>
      <w:r>
        <w:rPr>
          <w:rFonts w:ascii="Arial" w:hAnsi="Arial" w:eastAsia="Arial"/>
          <w:b/>
          <w:color w:val="0B1F33"/>
          <w:sz w:val="32"/>
        </w:rPr>
        <w:t>10. Почему без технологии проблема осталась бы скрытой</w:t>
      </w:r>
    </w:p>
    <w:p>
      <w:pPr>
        <w:spacing w:after="60" w:before="0" w:line="250" w:lineRule="auto"/>
      </w:pPr>
      <w:r>
        <w:rPr>
          <w:rFonts w:ascii="Arial" w:hAnsi="Arial" w:eastAsia="Arial"/>
          <w:b w:val="0"/>
          <w:color w:val="1F2A37"/>
          <w:sz w:val="20"/>
        </w:rPr>
        <w:t>Без AI-First Перехода компания могла бы измерять успех количеством созданных текстов и снижением нагрузки на команду. Это выглядело бы как рост производительности.</w:t>
      </w:r>
    </w:p>
    <w:p>
      <w:pPr>
        <w:spacing w:after="60" w:before="0" w:line="250" w:lineRule="auto"/>
      </w:pPr>
      <w:r>
        <w:rPr>
          <w:rFonts w:ascii="Arial" w:hAnsi="Arial" w:eastAsia="Arial"/>
          <w:b w:val="0"/>
          <w:color w:val="1F2A37"/>
          <w:sz w:val="20"/>
        </w:rPr>
        <w:t>Но скрытый риск рос бы вместе с объемом: бренд говорил бы разными голосами, факты подменялись бы обещаниями, а юридическая проверка подключалась бы поздно. Технология вернула владельца смысла и право остановки до публикации.</w:t>
      </w:r>
    </w:p>
    <w:p>
      <w:pPr>
        <w:pStyle w:val="Heading1"/>
        <w:spacing w:after="80" w:before="180" w:line="250" w:lineRule="auto"/>
      </w:pPr>
      <w:r>
        <w:rPr>
          <w:rFonts w:ascii="Arial" w:hAnsi="Arial" w:eastAsia="Arial"/>
          <w:b/>
          <w:color w:val="0B1F33"/>
          <w:sz w:val="32"/>
        </w:rPr>
        <w:t>11. Управленческий комментарий</w:t>
      </w:r>
    </w:p>
    <w:p>
      <w:pPr>
        <w:spacing w:after="60" w:before="0" w:line="250" w:lineRule="auto"/>
      </w:pPr>
      <w:r>
        <w:rPr>
          <w:rFonts w:ascii="Arial" w:hAnsi="Arial" w:eastAsia="Arial"/>
          <w:b w:val="0"/>
          <w:color w:val="1F2A37"/>
          <w:sz w:val="20"/>
        </w:rPr>
        <w:t>Для собственника кейс показал, что скорость маркетинга не должна разрушать доверие к бренду. ИИ может ускорить подготовку, но не может сам отвечать за обещание клиенту.</w:t>
      </w:r>
    </w:p>
    <w:p>
      <w:pPr>
        <w:spacing w:after="60" w:before="0" w:line="250" w:lineRule="auto"/>
      </w:pPr>
      <w:r>
        <w:rPr>
          <w:rFonts w:ascii="Arial" w:hAnsi="Arial" w:eastAsia="Arial"/>
          <w:b w:val="0"/>
          <w:color w:val="1F2A37"/>
          <w:sz w:val="20"/>
        </w:rPr>
        <w:t>Хорошим результатом стало не максимальное количество контента, а управляемая публикация с проверенными фактами и понятной ответственностью.</w:t>
      </w:r>
    </w:p>
    <w:p>
      <w:pPr>
        <w:pStyle w:val="Heading1"/>
        <w:spacing w:after="80" w:before="180" w:line="250" w:lineRule="auto"/>
      </w:pPr>
      <w:r>
        <w:rPr>
          <w:rFonts w:ascii="Arial" w:hAnsi="Arial" w:eastAsia="Arial"/>
          <w:b/>
          <w:color w:val="0B1F33"/>
          <w:sz w:val="32"/>
        </w:rPr>
        <w:t>12. Полевая версия вывода</w:t>
      </w:r>
    </w:p>
    <w:tbl>
      <w:tblPr>
        <w:tblW w:type="dxa" w:w="9000"/>
        <w:jc w:val="left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shd w:fill="F4EFE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b/>
                <w:color w:val="0B1F33"/>
                <w:sz w:val="20"/>
              </w:rPr>
              <w:t xml:space="preserve">Вывод для клиента. </w:t>
            </w:r>
            <w:r>
              <w:rPr>
                <w:rFonts w:ascii="Arial" w:hAnsi="Arial"/>
                <w:color w:val="1F2A37"/>
                <w:sz w:val="20"/>
              </w:rPr>
              <w:t>Расширять можно не массовую генерацию, а управляемый контур контента: подтвержденные факты, владелец канала, бренд-правила, юридические ограничения и право остановки публикации.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691" w:right="936" w:bottom="547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 w:line="250" w:lineRule="auto"/>
      <w:jc w:val="right"/>
    </w:pPr>
    <w:r>
      <w:rPr>
        <w:rFonts w:ascii="Arial" w:hAnsi="Arial" w:eastAsia="Arial"/>
        <w:b w:val="0"/>
        <w:color w:val="667085"/>
        <w:sz w:val="17"/>
      </w:rPr>
      <w:t>AI-First Переход | кейс 06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F2A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