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44"/>
        </w:rPr>
        <w:t>AI переход: каталог папки 70 Site</w:t>
      </w:r>
    </w:p>
    <w:p>
      <w:r>
        <w:t>Файл-описание состава папки сайта технологии. Хранит только актуальные файлы сайта и внешней упаковки.</w:t>
      </w:r>
    </w:p>
    <w:p>
      <w:pPr>
        <w:pStyle w:val="Heading1"/>
      </w:pPr>
      <w:r>
        <w:t>1. Назначение папки</w:t>
      </w:r>
    </w:p>
    <w:p>
      <w:r>
        <w:t>Папка содержит актуальные документы для сайта технологии AI переход: паспорт сайта, клиентско-смысловую модель и этот каталог папки.</w:t>
      </w:r>
    </w:p>
    <w:p>
      <w:pPr>
        <w:pStyle w:val="Heading1"/>
      </w:pPr>
      <w:r>
        <w:t>2. Состав папки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94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Файл</w:t>
            </w:r>
          </w:p>
        </w:tc>
        <w:tc>
          <w:tcPr>
            <w:tcW w:type="dxa" w:w="1814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Тип</w:t>
            </w:r>
          </w:p>
        </w:tc>
        <w:tc>
          <w:tcPr>
            <w:tcW w:type="dxa" w:w="311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1191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AI_Переход_Технология_Документ_Паспорт_технологии_для_сайта_V1.docx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Паспорт технологии для сайта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Передает структуру технологии, продукты, кейсы, FAQ и внешнюю упаковку для сайта.</w:t>
            </w:r>
          </w:p>
        </w:tc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актуальный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AI_Переход_Клиентско_Смысловая_Модель_Сайта_V2.docx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Клиентско-смысловая модель сайта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Фиксирует покупателя, язык клиента, путь сайта, публичный блок 'Что это / что это не', Hero-варианты, визуальную драматургию и путь к Диагностике.</w:t>
            </w:r>
          </w:p>
        </w:tc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актуальный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AI_Переход_Публичный_Блок_Это_Не_V1.md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Контрольный блок для сайта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Короткий публичный фрагмент 'Это не...' для переноса в сайт, ТЗ Claude Design и QA визуальной категории.</w:t>
            </w:r>
          </w:p>
        </w:tc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актуальный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AI_Переход_ТЗ_и_Промпт_Claude_Design_Сайт_v1.0.md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Итоговое ТЗ и промпт Claude Design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Полный управляющий файл сайта: структура, контент, визуальная постановка, CTA, SEO / GEO, mobile, WordPress / Novomira transfer notes и QA-акт.</w:t>
            </w:r>
          </w:p>
        </w:tc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актуальный</w:t>
            </w:r>
          </w:p>
        </w:tc>
      </w:tr>
      <w:tr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AI_Переход_Site_Документ_Каталог_папки.docx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Каталог папки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Описывает назначение и состав папки 70 Site.</w:t>
            </w:r>
          </w:p>
        </w:tc>
        <w:tc>
          <w:tcPr>
            <w:tcW w:type="dxa" w:w="11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актуальный</w:t>
            </w:r>
          </w:p>
        </w:tc>
      </w:tr>
    </w:tbl>
    <w:p>
      <w:pPr>
        <w:pStyle w:val="Heading1"/>
      </w:pPr>
      <w:r>
        <w:t>3. Правило хранения</w:t>
      </w:r>
    </w:p>
    <w:p>
      <w:r>
        <w:t>В папке 70 Site должны храниться только актуальные файлы, которые относятся к сайту технологии. Старые версии, черновики и служебные материалы переносятся в папку 99 Архив.</w:t>
      </w:r>
    </w:p>
    <w:sectPr w:rsidR="00FC693F" w:rsidRPr="0006063C" w:rsidSect="00034616">
      <w:footerReference w:type="default" r:id="rId9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>AI переход | каталог папки 70 Site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