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/>
          <w:color w:val="1E3A8A"/>
          <w:sz w:val="44"/>
        </w:rPr>
        <w:t>CLM_DOCX_BLOCK_STRUCTURE_STANDARD</w:t>
      </w:r>
    </w:p>
    <w:p>
      <w:r>
        <w:rPr>
          <w:rFonts w:ascii="Arial" w:hAnsi="Arial" w:eastAsia="Arial"/>
          <w:color w:val="64748B"/>
          <w:sz w:val="22"/>
        </w:rPr>
        <w:t>Универсальная структура DOCX-блоков CLM после рационализации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540"/>
      </w:tblGrid>
      <w:tr>
        <w:tc>
          <w:tcPr>
            <w:tcW w:type="dxa" w:w="10540"/>
            <w:shd w:fill="F3F6FB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Решение: каждый DOCX-блок CLM приводится к единому клиентскому стандарту. Из основного текста блоков удаляются Glossary / глоссарий, FAQ, служебные статусы, проверки 7 режимов, карты DOCX ↔ XLSX и технические протоколы заполнения. Эти материалы выносятся в мастер-документы и технические приложения.</w:t>
            </w:r>
          </w:p>
        </w:tc>
      </w:tr>
    </w:tbl>
    <w:p/>
    <w:p>
      <w:pPr>
        <w:pStyle w:val="Heading1"/>
      </w:pPr>
      <w:r>
        <w:t>1. Цель стандарта</w:t>
      </w:r>
    </w:p>
    <w:p>
      <w:r>
        <w:t>Цель стандарта — сделать каждый блок CLM одинаково читаемым, применимым и управляемым: один блок должен объяснять свою задачу, принимать входы, проводить работу, создавать выход и передавать результат дальше. Блок не должен быть одновременно методологической статьёй, FAQ, глоссарием, техническим паспортом XLSX и отчётом о проверке.</w:t>
      </w:r>
    </w:p>
    <w:p>
      <w:pPr>
        <w:pStyle w:val="Heading1"/>
      </w:pPr>
      <w:r>
        <w:t>2. Что удаляется из каждого DOCX-блока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13"/>
        <w:gridCol w:w="3513"/>
        <w:gridCol w:w="3513"/>
      </w:tblGrid>
      <w:tr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Удаляемый элемент</w:t>
            </w:r>
          </w:p>
        </w:tc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Куда переносится</w:t>
            </w:r>
          </w:p>
        </w:tc>
        <w:tc>
          <w:tcPr>
            <w:tcW w:type="dxa" w:w="3402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Причина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Полный глоссарий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CLM_GLOSSARY_MASTER</w:t>
            </w:r>
          </w:p>
        </w:tc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Дублирует термины и раздувает блоки.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FAQ директоров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CLM_FAQ_MASTER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Повторяет вопросы между блоками и мешает основной логике.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Служебный статус Reviewed GO / V1 / V1.1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Паспорт версии</w:t>
            </w:r>
          </w:p>
        </w:tc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Нужен для разработки, не для клиентского текста.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Проверка 7 режимов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CLM_METHOD_CONTROL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Это внутренний контроль качества, а не часть технологии для клиента.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DOCX ↔ XLSX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Техническое приложение / XLSX Manual</w:t>
            </w:r>
          </w:p>
        </w:tc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Важна для разработчика и консультанта, но перегружает блок.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Протокол заполнения XLSX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CLM_XLSX_MANUAL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Это инструкция к инструменту, а не основной текст блока.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Повтор доказательности в каждом разделе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Единая методическая оговорка в паспорте технологии</w:t>
            </w:r>
          </w:p>
        </w:tc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Повтор создаёт шум.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Большие справочные таблицы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Справочник / приложение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 основном блоке должны остаться только рабочие таблицы.</w:t>
            </w:r>
          </w:p>
        </w:tc>
      </w:tr>
    </w:tbl>
    <w:p/>
    <w:p>
      <w:pPr>
        <w:pStyle w:val="Heading1"/>
      </w:pPr>
      <w:r>
        <w:t>3. Универсальная структура DOCX-блока CLM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567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984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3969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быть внутри</w:t>
            </w:r>
          </w:p>
        </w:tc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567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1984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Назначение блока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Краткий ответ: зачем нужен блок и какую потерю управляемости он устраняет.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писать исторический обзор и рекламный текст.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Место блока в CLM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Что блок получает от предыдущих блоков и что передаёт дальше.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пересказывать все предыдущие блоки.</w:t>
            </w:r>
          </w:p>
        </w:tc>
      </w:tr>
      <w:tr>
        <w:tc>
          <w:tcPr>
            <w:tcW w:type="dxa" w:w="567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1984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Управленческая проблема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Как именно компания теряет управляемость без этого блока.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уходить в общую философию управления.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Вход в блок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Список данных, выводов, сигналов, артефактов и ролей, которые нужны для начала работы.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включать всё, что теоретически может быть полезно.</w:t>
            </w:r>
          </w:p>
        </w:tc>
      </w:tr>
      <w:tr>
        <w:tc>
          <w:tcPr>
            <w:tcW w:type="dxa" w:w="567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5</w:t>
            </w:r>
          </w:p>
        </w:tc>
        <w:tc>
          <w:tcPr>
            <w:tcW w:type="dxa" w:w="1984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Алгоритм работы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5–9 этапов блока в последовательности: от входа к выходу.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делать 20+ этапов и не смешивать с инструкцией XLSX.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Основные инструменты блока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Только формы, матрицы, панели, карты и метрики, без которых блок не работает.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перечислять все концепции ради полноты.</w:t>
            </w:r>
          </w:p>
        </w:tc>
      </w:tr>
      <w:tr>
        <w:tc>
          <w:tcPr>
            <w:tcW w:type="dxa" w:w="567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1984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Выход из блока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Конкретные документы, решения, карты, статусы, метрики или действия, которые должны быть получены.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завершать блок абстрактным выводом без результата.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8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Пример документа-выхода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Мини-пример итогового документа, карты, панели, матрицы или фрагмента отчёта.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делать полноценный шаблон на десятки страниц.</w:t>
            </w:r>
          </w:p>
        </w:tc>
      </w:tr>
      <w:tr>
        <w:tc>
          <w:tcPr>
            <w:tcW w:type="dxa" w:w="567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9</w:t>
            </w:r>
          </w:p>
        </w:tc>
        <w:tc>
          <w:tcPr>
            <w:tcW w:type="dxa" w:w="1984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Ошибки применения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Короткий список главных ошибок, которые ломают блок.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превращать в FAQ.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10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Передача в следующий блок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Что именно передаётся дальше: сигнал, карта, метрика, артефакт, решение или действие.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 писать общую связку без конкретного выхода.</w:t>
            </w:r>
          </w:p>
        </w:tc>
      </w:tr>
    </w:tbl>
    <w:p/>
    <w:p>
      <w:pPr>
        <w:pStyle w:val="Heading1"/>
      </w:pPr>
      <w:r>
        <w:t>4. Паспорт блока: обязательная таблица в начале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70"/>
        <w:gridCol w:w="5270"/>
      </w:tblGrid>
      <w:tr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Поле паспорта</w:t>
            </w:r>
          </w:p>
        </w:tc>
        <w:tc>
          <w:tcPr>
            <w:tcW w:type="dxa" w:w="6236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Правило заполнения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Название блока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Короткое функциональное название без служебной версии.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Роль в CLM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Описательный / исполнительный / AI-условный / обеспечивающий.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Главная функция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Одна фраза: что делает блок.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Входы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3–7 ключевых входов.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Выходы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3–7 ключевых выходов.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Основной артефакт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Один главный документ или результат блока.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Связь со следующим блоком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Что передаётся дальше.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Ограничение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Что блок не делает, чтобы не дублировать другие блоки.</w:t>
            </w:r>
          </w:p>
        </w:tc>
      </w:tr>
    </w:tbl>
    <w:p/>
    <w:p>
      <w:pPr>
        <w:pStyle w:val="Heading1"/>
      </w:pPr>
      <w:r>
        <w:t>5. Стандарт раздела “Вход в блок”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13"/>
        <w:gridCol w:w="3513"/>
        <w:gridCol w:w="3513"/>
      </w:tblGrid>
      <w:tr>
        <w:tc>
          <w:tcPr>
            <w:tcW w:type="dxa" w:w="2268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входа</w:t>
            </w:r>
          </w:p>
        </w:tc>
        <w:tc>
          <w:tcPr>
            <w:tcW w:type="dxa" w:w="3969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Диагностический вход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Выводы из предыдущей диагностики или панели.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Разрывы мандатов, падение DVI, высокий CEO Load Rate.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Ролевой вход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Роли и владельцы, участвующие в блоке.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CEO, CFO, COO, CHRO, CIO, владелец Decision OS.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Данные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Факты, показатели, источники или статусы.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CSS, DVI, IR, RC, Reopen Rate, Go / Hold / No-Go.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Артефакты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Уже созданные документы или матрицы.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мандатов, Decision Book, CLM Dashboard.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Ограничения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Условия, без которых блок нельзя выполнять корректно.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Нет владельца данных, нет решения из Блока 3, нет статуса AI-сценария.</w:t>
            </w:r>
          </w:p>
        </w:tc>
      </w:tr>
    </w:tbl>
    <w:p/>
    <w:p>
      <w:pPr>
        <w:pStyle w:val="Heading1"/>
      </w:pPr>
      <w:r>
        <w:t>6. Стандарт раздела “Выход из блока”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13"/>
        <w:gridCol w:w="3513"/>
        <w:gridCol w:w="3513"/>
      </w:tblGrid>
      <w:tr>
        <w:tc>
          <w:tcPr>
            <w:tcW w:type="dxa" w:w="2268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выхода</w:t>
            </w:r>
          </w:p>
        </w:tc>
        <w:tc>
          <w:tcPr>
            <w:tcW w:type="dxa" w:w="3969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Управленческий вывод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Короткое решение о состоянии контура.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C-level-ядро фрагментировано по решениям и данным.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/ матрица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Рабочая форма с владельцами, статусами, ролями или связями.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Mandate Matrix, Role Interface Map, Shock Map.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Статус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Качественное состояние, которое запускает действие.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Норма / риск / критично; Go / Hold / No-Go.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Метрика / сигнал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Показатель или драйвер, который показывает потерю управляемости.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DVI, Reopen Rate, IR, RC, RSI.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План действий</w:t>
            </w:r>
          </w:p>
        </w:tc>
        <w:tc>
          <w:tcPr>
            <w:tcW w:type="dxa" w:w="39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Ограниченный набор шагов с владельцем и сроком.</w:t>
            </w:r>
          </w:p>
        </w:tc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30 / 60 / 90.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Артефакт закрепления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Документ, журнал, регламент или шаблон, который нужен для продолжения.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Data Pack, Decision Book, Recovery Loop.</w:t>
            </w:r>
          </w:p>
        </w:tc>
      </w:tr>
    </w:tbl>
    <w:p/>
    <w:p>
      <w:pPr>
        <w:pStyle w:val="Heading1"/>
      </w:pPr>
      <w:r>
        <w:t>7. Пример документа-выхода по каждому блоку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70"/>
        <w:gridCol w:w="5270"/>
      </w:tblGrid>
      <w:tr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6236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 документа-выхода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1. Фундамент CLM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Краткое заключение: зачем компании нужен CLM и какая потеря управляемости обнаружена на верхнем уровне.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2. Архитектура C-level-ядра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C-level-архитектуры 23 / 15 / 7 и карта обязательных мандатов.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3. Диагностика C-level-ядра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Диагностический профиль C-level-ядра: разрывы, CSS, приоритеты вмешательства, план 30 / 60 / 90.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4. Оценка C-level-руководителей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готовности руководителя к роли и закрытое управленческое решение: развить / усилить / перераспределить / заменить.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5. Decision OS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операционной системы решений: входы, фильтр, владельцы, права, Data Pack, Decision Book, Commitment Log.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6. Синхронизация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интерфейсов ролей, конфликтов KPI, общих KPI и ритма синхронизации.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7. Устойчивость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шоков, стресс-тест, критические зависимости, Recovery Loop и план 48 часов / 30 дней / 90 дней.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8. Лидерский переход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перехода от ручного управления к мандатам, Decision OS, доверию и развитию C-level-ролей.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9. AI / ИИ-контур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AI / ИИ-сценариев: владелец, данные, контроль, экономика, риск, Go / Hold / No-Go.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10. CLM Dashboard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Диагностическая панель 7 приборов и список 5–7 приоритетов для Блока 11.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11. Дорожная карта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Roadmap перенастройки C-level-ядра: контуры, владельцы, действия, горизонты, метрики, артефакты.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12. Артефакты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Минимальный комплект 8 обязательных артефактов и реестр кандидатов на оптимизацию.</w:t>
            </w:r>
          </w:p>
        </w:tc>
      </w:tr>
    </w:tbl>
    <w:p/>
    <w:p>
      <w:pPr>
        <w:pStyle w:val="Heading1"/>
      </w:pPr>
      <w:r>
        <w:t>8. Ограничение по инфографике и таблицам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70"/>
        <w:gridCol w:w="5270"/>
      </w:tblGrid>
      <w:tr>
        <w:tc>
          <w:tcPr>
            <w:tcW w:type="dxa" w:w="2835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6236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До 3 визуальных элементов на блок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Каждый блок получает максимум 3 схемы, таблицы или инфографики.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Схема 1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Вход → алгоритм → выход.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Схема 2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Место блока в цепочке CLM.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Схема 3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Пример документа-выхода или ключевая рабочая матрица.</w:t>
            </w:r>
          </w:p>
        </w:tc>
      </w:tr>
      <w:tr>
        <w:tc>
          <w:tcPr>
            <w:tcW w:type="dxa" w:w="2835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Запрет</w:t>
            </w:r>
          </w:p>
        </w:tc>
        <w:tc>
          <w:tcPr>
            <w:tcW w:type="dxa" w:w="6236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Не добавлять иллюстрации ради оформления; каждая схема должна заменять текст и ускорять понимание.</w:t>
            </w:r>
          </w:p>
        </w:tc>
      </w:tr>
    </w:tbl>
    <w:p/>
    <w:p>
      <w:pPr>
        <w:pStyle w:val="Heading1"/>
      </w:pPr>
      <w:r>
        <w:t>9. Новая структура пакета CLM после рационализации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70"/>
        <w:gridCol w:w="5270"/>
      </w:tblGrid>
      <w:tr>
        <w:tc>
          <w:tcPr>
            <w:tcW w:type="dxa" w:w="3402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5669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Функция</w:t>
            </w:r>
          </w:p>
        </w:tc>
      </w:tr>
      <w:tr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CLM_TECHNOLOGY_PURPOSE</w:t>
            </w:r>
          </w:p>
        </w:tc>
        <w:tc>
          <w:tcPr>
            <w:tcW w:type="dxa" w:w="56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Назначение технологии в целом.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CLM_BLOCK_PURPOSES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Назначение блоков, входы и выходы.</w:t>
            </w:r>
          </w:p>
        </w:tc>
      </w:tr>
      <w:tr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CLM_CONCEPT_REGISTER</w:t>
            </w:r>
          </w:p>
        </w:tc>
        <w:tc>
          <w:tcPr>
            <w:tcW w:type="dxa" w:w="56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Реестр концепций и решения по рационализации.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CLM_GLOSSARY_MASTER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Единый терминологический стандарт.</w:t>
            </w:r>
          </w:p>
        </w:tc>
      </w:tr>
      <w:tr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CLM_FAQ_MASTER</w:t>
            </w:r>
          </w:p>
        </w:tc>
        <w:tc>
          <w:tcPr>
            <w:tcW w:type="dxa" w:w="56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Единый документ вопросов и возражений.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CLM_DOCX_BLOCK_STRUCTURE_STANDARD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Универсальная структура DOCX-блоков.</w:t>
            </w:r>
          </w:p>
        </w:tc>
      </w:tr>
      <w:tr>
        <w:tc>
          <w:tcPr>
            <w:tcW w:type="dxa" w:w="3402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CLM_XLSX_MANUAL</w:t>
            </w:r>
          </w:p>
        </w:tc>
        <w:tc>
          <w:tcPr>
            <w:tcW w:type="dxa" w:w="5669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Единый стандарт XLSX-инструментов.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CLM_METHOD_CONTROL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Методический контроль, доказательность, статусы, версии, 7 режимов.</w:t>
            </w:r>
          </w:p>
        </w:tc>
      </w:tr>
    </w:tbl>
    <w:p/>
    <w:p>
      <w:pPr>
        <w:pStyle w:val="Heading1"/>
      </w:pPr>
      <w:r>
        <w:t>Основание и границы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70"/>
        <w:gridCol w:w="5270"/>
      </w:tblGrid>
      <w:tr>
        <w:tc>
          <w:tcPr>
            <w:tcW w:type="dxa" w:w="2268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6803"/>
            <w:vAlign w:val="top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Использование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 Blocks 1–2</w:t>
            </w:r>
          </w:p>
        </w:tc>
        <w:tc>
          <w:tcPr>
            <w:tcW w:type="dxa" w:w="6803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Базовые определения CLM, C-level-ядра, мандатов и модели 23 / 15 / 7.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 Blocks 3–5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Диагностика, оценка руководителей и операционная система решений.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 Blocks 6–9</w:t>
            </w:r>
          </w:p>
        </w:tc>
        <w:tc>
          <w:tcPr>
            <w:tcW w:type="dxa" w:w="6803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Синхронизация, устойчивость, лидерский переход и AI / ИИ-контур.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 Blocks 10–12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Панель, дорожная карта и библиотека артефактов.</w:t>
            </w:r>
          </w:p>
        </w:tc>
      </w:tr>
      <w:tr>
        <w:tc>
          <w:tcPr>
            <w:tcW w:type="dxa" w:w="2268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CLM Concept Register Audit</w:t>
            </w:r>
          </w:p>
        </w:tc>
        <w:tc>
          <w:tcPr>
            <w:tcW w:type="dxa" w:w="6803"/>
            <w:vAlign w:val="top"/>
            <w:shd w:fill="FAFBFD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Решения по рационализации: вынести глоссарий, FAQ, служебные статусы и технические протоколы.</w:t>
            </w:r>
          </w:p>
        </w:tc>
      </w:tr>
    </w:tbl>
    <w:p/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474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