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Arial"/>
        </w:rPr>
        <w:t>Управление Директорами</w:t>
      </w:r>
    </w:p>
    <w:p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>
      <w:pPr>
        <w:spacing w:after="80"/>
      </w:pPr>
      <w:r>
        <w:rPr>
          <w:rFonts w:ascii="Arial" w:hAnsi="Arial" w:eastAsia="Arial"/>
        </w:rPr>
        <w:t>Управление Директорами. Методология реализации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475569"/>
          <w:sz w:val="21"/>
        </w:rPr>
        <w:t>Как применять 12 DOCX, XLSX-слой, кейсы, онбординг, weekly review / еженедельный разбор и финальный отчет.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10166"/>
      </w:tblGrid>
      <w:tr>
        <w:tc>
          <w:tcPr>
            <w:tcW w:type="dxa" w:w="10166"/>
            <w:shd w:fill="F3EBDD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B46A3C"/>
                <w:sz w:val="20"/>
              </w:rPr>
              <w:t>Главное правило реализации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Calibri"/>
                <w:b w:val="0"/>
                <w:i w:val="0"/>
                <w:color w:val="111827"/>
                <w:sz w:val="18"/>
              </w:rPr>
              <w:t>CLM нельзя внедрять как чтение 12 документов подряд. Реализация идет через форматы работы: Презентация, Диагностика, Сессия, Спринт, Сопровождение. DOCX объясняют технологию, XLSX фиксируют данные и выводы, кейсы доказывают применимость.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1. Состав операционной системы CLM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Слой</w:t>
            </w:r>
          </w:p>
        </w:tc>
        <w:tc>
          <w:tcPr>
            <w:tcW w:type="dxa" w:w="39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Что входит</w:t>
            </w:r>
          </w:p>
        </w:tc>
        <w:tc>
          <w:tcPr>
            <w:tcW w:type="dxa" w:w="336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Методика</w:t>
            </w:r>
          </w:p>
        </w:tc>
        <w:tc>
          <w:tcPr>
            <w:tcW w:type="dxa" w:w="3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12 DOCX-блоков, главный гид, FAQ / частые вопросы, глоссарий.</w:t>
            </w:r>
          </w:p>
        </w:tc>
        <w:tc>
          <w:tcPr>
            <w:tcW w:type="dxa" w:w="3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Единая логика технологии и терминов.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Рабочий слой</w:t>
            </w:r>
          </w:p>
        </w:tc>
        <w:tc>
          <w:tcPr>
            <w:tcW w:type="dxa" w:w="3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XLSX 3-12: диагностика, оценка, Decision OS, синхронизация, устойчивость, переход, AI / ИИ, панель, Roadmap / дорожная карта, артефакты.</w:t>
            </w:r>
          </w:p>
        </w:tc>
        <w:tc>
          <w:tcPr>
            <w:tcW w:type="dxa" w:w="3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Заполнение, расчет, отчет и управленческий вывод.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Коммерческий слой</w:t>
            </w:r>
          </w:p>
        </w:tc>
        <w:tc>
          <w:tcPr>
            <w:tcW w:type="dxa" w:w="3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Презентация, первый разговор, квалификация, возражения, цены и упаковка.</w:t>
            </w:r>
          </w:p>
        </w:tc>
        <w:tc>
          <w:tcPr>
            <w:tcW w:type="dxa" w:w="3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Продажа через ценность, а не через документы.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Реализационный слой</w:t>
            </w:r>
          </w:p>
        </w:tc>
        <w:tc>
          <w:tcPr>
            <w:tcW w:type="dxa" w:w="3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Онбординг, кикофф, weekly review / еженедельный отчет, финальный отчет, кейс.</w:t>
            </w:r>
          </w:p>
        </w:tc>
        <w:tc>
          <w:tcPr>
            <w:tcW w:type="dxa" w:w="3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Удержание процесса и результата.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2. Сквозная схема реализации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0B1F33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Промежуток</w:t>
            </w:r>
          </w:p>
        </w:tc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0F766E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Диагностика</w:t>
            </w:r>
          </w:p>
        </w:tc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0F766E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Сессия</w:t>
            </w:r>
          </w:p>
        </w:tc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0F766E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Спринт</w:t>
            </w:r>
          </w:p>
        </w:tc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0B1F33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5"/>
              </w:rPr>
              <w:t>Сопровождение</w:t>
            </w:r>
          </w:p>
        </w:tc>
      </w:tr>
      <w:tr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F3EBDD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Презентация</w:t>
            </w:r>
          </w:p>
        </w:tc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EAF2F8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Найти разрыв</w:t>
            </w:r>
          </w:p>
        </w:tc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EAF2F8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Собрать решение</w:t>
            </w:r>
          </w:p>
        </w:tc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EAF2F8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Проверить</w:t>
            </w:r>
          </w:p>
        </w:tc>
        <w:tc>
          <w:tcPr>
            <w:tcW w:type="dxa" w:w="1872"/>
            <w:tcMar>
              <w:top w:w="80" w:type="dxa"/>
              <w:start w:w="80" w:type="dxa"/>
              <w:bottom w:w="80" w:type="dxa"/>
              <w:end w:w="80" w:type="dxa"/>
            </w:tcMar>
            <w:shd w:fill="F3EBDD"/>
          </w:tcPr>
          <w:p>
            <w:pPr>
              <w:spacing w:after="0" w:line="247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Удержать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3. Форматы реализации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1300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Формат</w:t>
            </w:r>
          </w:p>
        </w:tc>
        <w:tc>
          <w:tcPr>
            <w:tcW w:type="dxa" w:w="2050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Вход</w:t>
            </w:r>
          </w:p>
        </w:tc>
        <w:tc>
          <w:tcPr>
            <w:tcW w:type="dxa" w:w="2750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Что делаем</w:t>
            </w:r>
          </w:p>
        </w:tc>
        <w:tc>
          <w:tcPr>
            <w:tcW w:type="dxa" w:w="1900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Выход</w:t>
            </w:r>
          </w:p>
        </w:tc>
        <w:tc>
          <w:tcPr>
            <w:tcW w:type="dxa" w:w="1360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Решение после этапа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Презентация</w:t>
            </w:r>
          </w:p>
        </w:tc>
        <w:tc>
          <w:tcPr>
            <w:tcW w:type="dxa" w:w="20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Запрос с сайта или рекомендация.</w:t>
            </w:r>
          </w:p>
        </w:tc>
        <w:tc>
          <w:tcPr>
            <w:tcW w:type="dxa" w:w="2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Показываем проблему, 12 блоков, продукты, кейсы, цены после ценности.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Понимание CLM и интерес к разговору.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Стратегический разговор / стоп.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Диагностика</w:t>
            </w:r>
          </w:p>
        </w:tc>
        <w:tc>
          <w:tcPr>
            <w:tcW w:type="dxa" w:w="20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Есть боль, доступ к CEO и первому кругу, но нет подтвержденного диагноза.</w:t>
            </w:r>
          </w:p>
        </w:tc>
        <w:tc>
          <w:tcPr>
            <w:tcW w:type="dxa" w:w="2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Интервью, документы, разбор решений, XLSX блока 3 и при необходимости смежные блоки.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Карта разрывов, первичный маршрут.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Сессия / Сопровождение / стоп.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Сессия</w:t>
            </w:r>
          </w:p>
        </w:tc>
        <w:tc>
          <w:tcPr>
            <w:tcW w:type="dxa" w:w="20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Диагноз подтвержден, участники имеют мандат принимать решения.</w:t>
            </w:r>
          </w:p>
        </w:tc>
        <w:tc>
          <w:tcPr>
            <w:tcW w:type="dxa" w:w="2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Собираем целевую конфигурацию, роли, мандаты, Decision OS, план 30 / 60 / 90.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Архитектурное решение.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Спринт / Сопровождение / пауза.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Спринт</w:t>
            </w:r>
          </w:p>
        </w:tc>
        <w:tc>
          <w:tcPr>
            <w:tcW w:type="dxa" w:w="20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Есть выбранный ограниченный контур, владелец и метрика успеха.</w:t>
            </w:r>
          </w:p>
        </w:tc>
        <w:tc>
          <w:tcPr>
            <w:tcW w:type="dxa" w:w="2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Тестируем новую архитектуру на реальном стыке, решении или контуре.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Метрики до / после, отклонения, вердикт.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Масштабировать / доработать / остановить.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4"/>
              </w:rPr>
              <w:t>Сопровождение</w:t>
            </w:r>
          </w:p>
        </w:tc>
        <w:tc>
          <w:tcPr>
            <w:tcW w:type="dxa" w:w="20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Нужно удерживать архитектуру во времени.</w:t>
            </w:r>
          </w:p>
        </w:tc>
        <w:tc>
          <w:tcPr>
            <w:tcW w:type="dxa" w:w="2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Регулярные review / разборы, контроль мандатов, Decision OS, панели и рисков.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Долговременная управляемость.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4"/>
              </w:rPr>
              <w:t>Продолжить / новый спринт / завершить.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4. Связь 12 блоков CLM с форматами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6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Блоки</w:t>
            </w:r>
          </w:p>
        </w:tc>
        <w:tc>
          <w:tcPr>
            <w:tcW w:type="dxa" w:w="475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Роль в реализации</w:t>
            </w:r>
          </w:p>
        </w:tc>
        <w:tc>
          <w:tcPr>
            <w:tcW w:type="dxa" w:w="301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Где применяются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1-2</w:t>
            </w:r>
          </w:p>
        </w:tc>
        <w:tc>
          <w:tcPr>
            <w:tcW w:type="dxa" w:w="4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Фундамент, архитектура, модель 23 / 15 / 7, роли и мандаты.</w:t>
            </w:r>
          </w:p>
        </w:tc>
        <w:tc>
          <w:tcPr>
            <w:tcW w:type="dxa" w:w="30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Презентация, Диагностика, Сессия.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3</w:t>
            </w:r>
          </w:p>
        </w:tc>
        <w:tc>
          <w:tcPr>
            <w:tcW w:type="dxa" w:w="4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Главный диагностический вход: карта разрывов C-level-ядра.</w:t>
            </w:r>
          </w:p>
        </w:tc>
        <w:tc>
          <w:tcPr>
            <w:tcW w:type="dxa" w:w="30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Диагностика.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4</w:t>
            </w:r>
          </w:p>
        </w:tc>
        <w:tc>
          <w:tcPr>
            <w:tcW w:type="dxa" w:w="4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Оценка руководителей относительно роли, мандата и системной задачи.</w:t>
            </w:r>
          </w:p>
        </w:tc>
        <w:tc>
          <w:tcPr>
            <w:tcW w:type="dxa" w:w="30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Диагностика, Сессия, Сопровождение.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5</w:t>
            </w:r>
          </w:p>
        </w:tc>
        <w:tc>
          <w:tcPr>
            <w:tcW w:type="dxa" w:w="4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Decision OS / система решений: вход, владелец, данные, права, фиксация, разбор.</w:t>
            </w:r>
          </w:p>
        </w:tc>
        <w:tc>
          <w:tcPr>
            <w:tcW w:type="dxa" w:w="30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Сессия, Спринт, Сопровождение.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6-8</w:t>
            </w:r>
          </w:p>
        </w:tc>
        <w:tc>
          <w:tcPr>
            <w:tcW w:type="dxa" w:w="4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Синхронизация, устойчивость и лидерский переход.</w:t>
            </w:r>
          </w:p>
        </w:tc>
        <w:tc>
          <w:tcPr>
            <w:tcW w:type="dxa" w:w="30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Сессия, Спринт, Сопровождение.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9</w:t>
            </w:r>
          </w:p>
        </w:tc>
        <w:tc>
          <w:tcPr>
            <w:tcW w:type="dxa" w:w="4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AI / ИИ-контур, допуск, владелец данных, эффект, риск, человеческая проверка.</w:t>
            </w:r>
          </w:p>
        </w:tc>
        <w:tc>
          <w:tcPr>
            <w:tcW w:type="dxa" w:w="30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Диагностика, Спринт, Сопровождение при наличии AI / ИИ-сценариев.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10-12</w:t>
            </w:r>
          </w:p>
        </w:tc>
        <w:tc>
          <w:tcPr>
            <w:tcW w:type="dxa" w:w="47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Панель, дорожная карта, библиотека артефактов.</w:t>
            </w:r>
          </w:p>
        </w:tc>
        <w:tc>
          <w:tcPr>
            <w:tcW w:type="dxa" w:w="30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Спринт, Сопровождение, финальный отчет.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5. Обязательные артефакты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5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Этап</w:t>
            </w:r>
          </w:p>
        </w:tc>
        <w:tc>
          <w:tcPr>
            <w:tcW w:type="dxa" w:w="42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Артефакты</w:t>
            </w:r>
          </w:p>
        </w:tc>
        <w:tc>
          <w:tcPr>
            <w:tcW w:type="dxa" w:w="366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Критерий готовности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До старта</w:t>
            </w:r>
          </w:p>
        </w:tc>
        <w:tc>
          <w:tcPr>
            <w:tcW w:type="dxa" w:w="42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Brief проекта, scope / объем, список участников, запрос данных.</w:t>
            </w:r>
          </w:p>
        </w:tc>
        <w:tc>
          <w:tcPr>
            <w:tcW w:type="dxa" w:w="36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Есть доступ к CEO, первому кругу и материалам.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Диагностика</w:t>
            </w:r>
          </w:p>
        </w:tc>
        <w:tc>
          <w:tcPr>
            <w:tcW w:type="dxa" w:w="42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Диагностический отчет, карта разрывов, карта решений, рекомендация следующего шага.</w:t>
            </w:r>
          </w:p>
        </w:tc>
        <w:tc>
          <w:tcPr>
            <w:tcW w:type="dxa" w:w="36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Есть не менее 3 подтвержденных разрывов или обоснованный стоп.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Сессия</w:t>
            </w:r>
          </w:p>
        </w:tc>
        <w:tc>
          <w:tcPr>
            <w:tcW w:type="dxa" w:w="42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Протокол, целевая конфигурация, карта мандатов, Decision OS, план 30 / 60 / 90.</w:t>
            </w:r>
          </w:p>
        </w:tc>
        <w:tc>
          <w:tcPr>
            <w:tcW w:type="dxa" w:w="36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Решения зафиксированы, владельцы назначены.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Спринт</w:t>
            </w:r>
          </w:p>
        </w:tc>
        <w:tc>
          <w:tcPr>
            <w:tcW w:type="dxa" w:w="42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Паспорт спринта, базовые метрики, weekly review / еженедельный разбор, итоговый разбор.</w:t>
            </w:r>
          </w:p>
        </w:tc>
        <w:tc>
          <w:tcPr>
            <w:tcW w:type="dxa" w:w="36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Есть метрики до / после и управленческий вердикт.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Сопровождение</w:t>
            </w:r>
          </w:p>
        </w:tc>
        <w:tc>
          <w:tcPr>
            <w:tcW w:type="dxa" w:w="42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Календарь касаний, ежемесячный review, карта рисков, обновление Roadmap / дорожной карты.</w:t>
            </w:r>
          </w:p>
        </w:tc>
        <w:tc>
          <w:tcPr>
            <w:tcW w:type="dxa" w:w="36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Архитектура не откатывается в ручное управление.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5"/>
              </w:rPr>
              <w:t>Завершение</w:t>
            </w:r>
          </w:p>
        </w:tc>
        <w:tc>
          <w:tcPr>
            <w:tcW w:type="dxa" w:w="42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Финальный отчет и кейс.</w:t>
            </w:r>
          </w:p>
        </w:tc>
        <w:tc>
          <w:tcPr>
            <w:tcW w:type="dxa" w:w="36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5"/>
              </w:rPr>
              <w:t>Показано: с чего начинали, что сделали, что изменилось, что закрепили.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6. Go / Hold / No-Go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Статус</w:t>
            </w:r>
          </w:p>
        </w:tc>
        <w:tc>
          <w:tcPr>
            <w:tcW w:type="dxa" w:w="4300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Когда ставить</w:t>
            </w:r>
          </w:p>
        </w:tc>
        <w:tc>
          <w:tcPr>
            <w:tcW w:type="dxa" w:w="3260"/>
            <w:shd w:fill="0F766E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type="dxa" w:w="4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Есть боль, ЛПР, доступ к первому кругу, данные и готовность к управленческому решению.</w:t>
            </w:r>
          </w:p>
        </w:tc>
        <w:tc>
          <w:tcPr>
            <w:tcW w:type="dxa" w:w="32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Запускать следующий формат.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HOLD / удержать</w:t>
            </w:r>
          </w:p>
        </w:tc>
        <w:tc>
          <w:tcPr>
            <w:tcW w:type="dxa" w:w="4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Есть интерес, но нет доступа, данных, времени CEO или согласия ключевых участников.</w:t>
            </w:r>
          </w:p>
        </w:tc>
        <w:tc>
          <w:tcPr>
            <w:tcW w:type="dxa" w:w="32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Закрыть условия входа, не начинать проект декоративно.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NO-GO / не запускать</w:t>
            </w:r>
          </w:p>
        </w:tc>
        <w:tc>
          <w:tcPr>
            <w:tcW w:type="dxa" w:w="4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Клиент хочет только оргсхему, HR-оценку, фасилитацию без решений или дешевую консультацию без доступа к C-level.</w:t>
            </w:r>
          </w:p>
        </w:tc>
        <w:tc>
          <w:tcPr>
            <w:tcW w:type="dxa" w:w="32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Остановить или предложить другой продукт.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7. Ритм управления проектом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Ритм</w:t>
            </w:r>
          </w:p>
        </w:tc>
        <w:tc>
          <w:tcPr>
            <w:tcW w:type="dxa" w:w="43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Содержание</w:t>
            </w:r>
          </w:p>
        </w:tc>
        <w:tc>
          <w:tcPr>
            <w:tcW w:type="dxa" w:w="296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Для чего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Кикофф</w:t>
            </w:r>
          </w:p>
        </w:tc>
        <w:tc>
          <w:tcPr>
            <w:tcW w:type="dxa" w:w="4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Цель, ожидания, критерии успеха, доступы, календарь.</w:t>
            </w:r>
          </w:p>
        </w:tc>
        <w:tc>
          <w:tcPr>
            <w:tcW w:type="dxa" w:w="29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Снять хаос до старта.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Weekly review / еженедельный разбор</w:t>
            </w:r>
          </w:p>
        </w:tc>
        <w:tc>
          <w:tcPr>
            <w:tcW w:type="dxa" w:w="4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Статус треков, решения, метрики, риски, следующие действия.</w:t>
            </w:r>
          </w:p>
        </w:tc>
        <w:tc>
          <w:tcPr>
            <w:tcW w:type="dxa" w:w="29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Не дать проекту превратиться в разговоры.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Ежемесячный review</w:t>
            </w:r>
          </w:p>
        </w:tc>
        <w:tc>
          <w:tcPr>
            <w:tcW w:type="dxa" w:w="4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Архитектура, ownership / владение, Decision OS, синхронизация, устойчивость.</w:t>
            </w:r>
          </w:p>
        </w:tc>
        <w:tc>
          <w:tcPr>
            <w:tcW w:type="dxa" w:w="29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Проверить, не откатывается ли система.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Финальный отчет</w:t>
            </w:r>
          </w:p>
        </w:tc>
        <w:tc>
          <w:tcPr>
            <w:tcW w:type="dxa" w:w="43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До / после, цели, метрики, артефакты, решение о следующем шаге.</w:t>
            </w:r>
          </w:p>
        </w:tc>
        <w:tc>
          <w:tcPr>
            <w:tcW w:type="dxa" w:w="29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Закрыть цикл и создать кейс.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8. Антиошибки реализации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Ошибка</w:t>
            </w:r>
          </w:p>
        </w:tc>
        <w:tc>
          <w:tcPr>
            <w:tcW w:type="dxa" w:w="335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Почему опасно</w:t>
            </w:r>
          </w:p>
        </w:tc>
        <w:tc>
          <w:tcPr>
            <w:tcW w:type="dxa" w:w="351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Правильное действие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Свести CLM к оргструктуре</w:t>
            </w:r>
          </w:p>
        </w:tc>
        <w:tc>
          <w:tcPr>
            <w:tcW w:type="dxa" w:w="33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Исчезает главный предмет: роли, мандаты, решения и ответственность.</w:t>
            </w:r>
          </w:p>
        </w:tc>
        <w:tc>
          <w:tcPr>
            <w:tcW w:type="dxa" w:w="35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Проверять фактическое владение решениями.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Свести CLM к HR-оценке</w:t>
            </w:r>
          </w:p>
        </w:tc>
        <w:tc>
          <w:tcPr>
            <w:tcW w:type="dxa" w:w="33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Оценка людей без архитектуры не меняет систему.</w:t>
            </w:r>
          </w:p>
        </w:tc>
        <w:tc>
          <w:tcPr>
            <w:tcW w:type="dxa" w:w="35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Сначала система, потом человек в роли.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Провести сессию без диагноза</w:t>
            </w:r>
          </w:p>
        </w:tc>
        <w:tc>
          <w:tcPr>
            <w:tcW w:type="dxa" w:w="33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Получится разговор про команду, а не решение.</w:t>
            </w:r>
          </w:p>
        </w:tc>
        <w:tc>
          <w:tcPr>
            <w:tcW w:type="dxa" w:w="35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Сначала подтвердить разрывы.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Запустить спринт без владельца и метрики</w:t>
            </w:r>
          </w:p>
        </w:tc>
        <w:tc>
          <w:tcPr>
            <w:tcW w:type="dxa" w:w="33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Нечего проверять и нечем доказать результат.</w:t>
            </w:r>
          </w:p>
        </w:tc>
        <w:tc>
          <w:tcPr>
            <w:tcW w:type="dxa" w:w="35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Паспорт спринта до старта.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Показать все 12 блоков клиенту как обязательную дорогу</w:t>
            </w:r>
          </w:p>
        </w:tc>
        <w:tc>
          <w:tcPr>
            <w:tcW w:type="dxa" w:w="335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Технология станет тяжелой и непродаваемой.</w:t>
            </w:r>
          </w:p>
        </w:tc>
        <w:tc>
          <w:tcPr>
            <w:tcW w:type="dxa" w:w="351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Входить с нужного этапа.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B1F33"/>
          <w:sz w:val="30"/>
        </w:rPr>
        <w:t>9. Ролевая проверка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2C8"/>
          <w:left w:val="single" w:sz="4" w:space="0" w:color="D8D2C8"/>
          <w:bottom w:val="single" w:sz="4" w:space="0" w:color="D8D2C8"/>
          <w:right w:val="single" w:sz="4" w:space="0" w:color="D8D2C8"/>
          <w:insideH w:val="single" w:sz="4" w:space="0" w:color="D8D2C8"/>
          <w:insideV w:val="single" w:sz="4" w:space="0" w:color="D8D2C8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Режим</w:t>
            </w:r>
          </w:p>
        </w:tc>
        <w:tc>
          <w:tcPr>
            <w:tcW w:type="dxa" w:w="180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Вердикт</w:t>
            </w:r>
          </w:p>
        </w:tc>
        <w:tc>
          <w:tcPr>
            <w:tcW w:type="dxa" w:w="5060"/>
            <w:shd w:fill="0B1F33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Архитектор CLM</w:t>
            </w:r>
          </w:p>
        </w:tc>
        <w:tc>
          <w:tcPr>
            <w:tcW w:type="dxa" w:w="18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type="dxa" w:w="50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12 блоков сохранены, но реализация идет через форматы работы.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Методолог</w:t>
            </w:r>
          </w:p>
        </w:tc>
        <w:tc>
          <w:tcPr>
            <w:tcW w:type="dxa" w:w="18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type="dxa" w:w="50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DOCX, XLSX и артефакты разведены по ролям.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Коммерческий внедренец</w:t>
            </w:r>
          </w:p>
        </w:tc>
        <w:tc>
          <w:tcPr>
            <w:tcW w:type="dxa" w:w="18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type="dxa" w:w="50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Есть понятная цепочка от презентации до Сопровождение.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/>
                <w:i w:val="0"/>
                <w:color w:val="111827"/>
                <w:sz w:val="16"/>
              </w:rPr>
              <w:t>QA / контроль</w:t>
            </w:r>
          </w:p>
        </w:tc>
        <w:tc>
          <w:tcPr>
            <w:tcW w:type="dxa" w:w="180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GO / запускать</w:t>
            </w:r>
          </w:p>
        </w:tc>
        <w:tc>
          <w:tcPr>
            <w:tcW w:type="dxa" w:w="5060"/>
            <w:tcMar>
              <w:top w:w="80" w:type="dxa"/>
              <w:start w:w="110" w:type="dxa"/>
              <w:bottom w:w="80" w:type="dxa"/>
              <w:end w:w="110" w:type="dxa"/>
            </w:tcMar>
            <w:vAlign w:val="center"/>
            <w:shd w:fill="FBFAF7"/>
          </w:tcPr>
          <w:p>
            <w:pPr>
              <w:spacing w:after="0" w:line="254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11827"/>
                <w:sz w:val="16"/>
              </w:rPr>
              <w:t>Есть Go / Hold / No-Go и критерии готовности каждого этапа.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Calibri" w:hAnsi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B1F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B46A3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B1F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CLM_IMPLEMENTATION_METHODOLOGY_V1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