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  <w:jc w:val="center"/>
      </w:pPr>
      <w:r>
        <w:rPr>
          <w:rFonts w:ascii="Arial" w:hAnsi="Arial" w:eastAsia="Arial"/>
          <w:b/>
          <w:color w:val="163247"/>
          <w:sz w:val="44"/>
        </w:rPr>
        <w:t>Управление Директорами / CLM</w:t>
      </w:r>
    </w:p>
    <w:p>
      <w:pPr>
        <w:spacing w:after="160" w:line="259" w:lineRule="auto"/>
        <w:jc w:val="center"/>
      </w:pPr>
      <w:r>
        <w:rPr>
          <w:rFonts w:ascii="Arial" w:hAnsi="Arial" w:eastAsia="Arial"/>
          <w:b/>
          <w:color w:val="0F766E"/>
          <w:sz w:val="28"/>
        </w:rPr>
        <w:t>Политика утверждений и антипозиционирование</w:t>
      </w:r>
    </w:p>
    <w:p>
      <w:pPr>
        <w:spacing w:after="200" w:line="259" w:lineRule="auto"/>
        <w:jc w:val="center"/>
      </w:pPr>
      <w:r>
        <w:rPr>
          <w:rFonts w:ascii="Arial" w:hAnsi="Arial" w:eastAsia="Arial"/>
          <w:b w:val="0"/>
          <w:color w:val="374151"/>
          <w:sz w:val="20"/>
        </w:rPr>
        <w:t>Технологическая основа: CLM / C-Level Management / управление C-level-ядром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6F4F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Arial" w:hAnsi="Arial" w:eastAsia="Arial"/>
                <w:b/>
                <w:color w:val="163247"/>
                <w:sz w:val="20"/>
              </w:rPr>
              <w:t xml:space="preserve">Назначение. </w:t>
            </w:r>
            <w:r>
              <w:rPr>
                <w:rFonts w:ascii="Arial" w:hAnsi="Arial" w:eastAsia="Arial"/>
                <w:b w:val="0"/>
                <w:color w:val="1F2937"/>
                <w:sz w:val="20"/>
              </w:rPr>
              <w:t>Документ фиксирует, какие claims / утверждения, гарантии, цены и кейсы можно использовать в сайте, презентации, КП и первом разговоре. Цель — продавать управленческую ценность CLM без неподтвержденных обещаний.</w:t>
            </w:r>
          </w:p>
        </w:tc>
      </w:tr>
    </w:tbl>
    <w:p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>
      <w:pPr>
        <w:spacing w:before="240" w:after="120"/>
      </w:pPr>
      <w:r>
        <w:rPr>
          <w:rFonts w:ascii="Arial" w:hAnsi="Arial" w:eastAsia="Arial"/>
          <w:b/>
          <w:color w:val="163247"/>
          <w:sz w:val="32"/>
        </w:rPr>
        <w:t>1. Четыре статуса утверждений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2592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Что значит</w:t>
            </w:r>
          </w:p>
        </w:tc>
        <w:tc>
          <w:tcPr>
            <w:tcW w:type="dxa" w:w="2592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Где можно использовать</w:t>
            </w:r>
          </w:p>
        </w:tc>
        <w:tc>
          <w:tcPr>
            <w:tcW w:type="dxa" w:w="2592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Пример</w:t>
            </w:r>
          </w:p>
        </w:tc>
      </w:tr>
      <w:tr>
        <w:tc>
          <w:tcPr>
            <w:tcW w:type="dxa" w:w="2592"/>
            <w:shd w:fill="E6F4F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Методическое утверждение</w:t>
            </w:r>
          </w:p>
        </w:tc>
        <w:tc>
          <w:tcPr>
            <w:tcW w:type="dxa" w:w="2592"/>
            <w:shd w:fill="E6F4F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Смысл технологии, основанный на архитектуре CLM.</w:t>
            </w:r>
          </w:p>
        </w:tc>
        <w:tc>
          <w:tcPr>
            <w:tcW w:type="dxa" w:w="2592"/>
            <w:shd w:fill="E6F4F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Сайт, презентация, первый разговор.</w:t>
            </w:r>
          </w:p>
        </w:tc>
        <w:tc>
          <w:tcPr>
            <w:tcW w:type="dxa" w:w="2592"/>
            <w:shd w:fill="E6F4F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CLM показывает роли, мандаты, решения, данные и ответственность.</w:t>
            </w:r>
          </w:p>
        </w:tc>
      </w:tr>
      <w:tr>
        <w:tc>
          <w:tcPr>
            <w:tcW w:type="dxa" w:w="2592"/>
            <w:shd w:fill="E6F4F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Подтвержденный факт комплекта</w:t>
            </w:r>
          </w:p>
        </w:tc>
        <w:tc>
          <w:tcPr>
            <w:tcW w:type="dxa" w:w="2592"/>
            <w:shd w:fill="E6F4F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Факт, закрепленный в актуальной документации.</w:t>
            </w:r>
          </w:p>
        </w:tc>
        <w:tc>
          <w:tcPr>
            <w:tcW w:type="dxa" w:w="2592"/>
            <w:shd w:fill="E6F4F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Сайт, КП, презентация, договорная логика.</w:t>
            </w:r>
          </w:p>
        </w:tc>
        <w:tc>
          <w:tcPr>
            <w:tcW w:type="dxa" w:w="2592"/>
            <w:shd w:fill="E6F4F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 — обязательный платный вход.</w:t>
            </w:r>
          </w:p>
        </w:tc>
      </w:tr>
      <w:tr>
        <w:tc>
          <w:tcPr>
            <w:tcW w:type="dxa" w:w="2592"/>
            <w:shd w:fill="FFF4CC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Гипотеза после Диагностики</w:t>
            </w:r>
          </w:p>
        </w:tc>
        <w:tc>
          <w:tcPr>
            <w:tcW w:type="dxa" w:w="2592"/>
            <w:shd w:fill="FFF4CC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Вывод, который можно делать только после данных клиента.</w:t>
            </w:r>
          </w:p>
        </w:tc>
        <w:tc>
          <w:tcPr>
            <w:tcW w:type="dxa" w:w="2592"/>
            <w:shd w:fill="FFF4CC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Отчет Диагностики, Сессия, Спринт.</w:t>
            </w:r>
          </w:p>
        </w:tc>
        <w:tc>
          <w:tcPr>
            <w:tcW w:type="dxa" w:w="2592"/>
            <w:shd w:fill="FFF4CC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Вероятный финансовый эффект устранения разрывов.</w:t>
            </w:r>
          </w:p>
        </w:tc>
      </w:tr>
      <w:tr>
        <w:tc>
          <w:tcPr>
            <w:tcW w:type="dxa" w:w="2592"/>
            <w:shd w:fill="FDE2E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Запрещенное обещание</w:t>
            </w:r>
          </w:p>
        </w:tc>
        <w:tc>
          <w:tcPr>
            <w:tcW w:type="dxa" w:w="2592"/>
            <w:shd w:fill="FDE2E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Обещание эффекта без фактов, данных или подтверждения.</w:t>
            </w:r>
          </w:p>
        </w:tc>
        <w:tc>
          <w:tcPr>
            <w:tcW w:type="dxa" w:w="2592"/>
            <w:shd w:fill="FDE2E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Нигде.</w:t>
            </w:r>
          </w:p>
        </w:tc>
        <w:tc>
          <w:tcPr>
            <w:tcW w:type="dxa" w:w="2592"/>
            <w:shd w:fill="FDE2E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CLM гарантирует рост прибыли на X%.</w:t>
            </w:r>
          </w:p>
        </w:tc>
      </w:tr>
    </w:tbl>
    <w:p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>
      <w:pPr>
        <w:spacing w:before="240" w:after="120"/>
      </w:pPr>
      <w:r>
        <w:rPr>
          <w:rFonts w:ascii="Arial" w:hAnsi="Arial" w:eastAsia="Arial"/>
          <w:b/>
          <w:color w:val="163247"/>
          <w:sz w:val="32"/>
        </w:rPr>
        <w:t>2. Разрешенные и запрещенные формулировки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Зона</w:t>
            </w:r>
          </w:p>
        </w:tc>
        <w:tc>
          <w:tcPr>
            <w:tcW w:type="dxa" w:w="3457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Можно говорить</w:t>
            </w:r>
          </w:p>
        </w:tc>
        <w:tc>
          <w:tcPr>
            <w:tcW w:type="dxa" w:w="3457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Нельзя говорить</w:t>
            </w:r>
          </w:p>
        </w:tc>
      </w:tr>
      <w:tr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Суть CLM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CLM / C-Level Management настраивает C-level-ядро через роли, мандаты, решения, данные, ритмы и ответственность.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CLM автоматически решает все проблемы директоров.</w:t>
            </w:r>
          </w:p>
        </w:tc>
      </w:tr>
      <w:tr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</w:t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Диагностика дает честный вердикт: продолжать, продолжать при условиях, отложить или отказать.</w:t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Мы гарантируем, что найдем у вас 3 C-level-разрыва.</w:t>
            </w:r>
          </w:p>
        </w:tc>
      </w:tr>
      <w:tr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Финансовый эффект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После Диагностики можно сформулировать гипотезу эффекта; после Спринта — подтвердить факт.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Мы гарантируем окупаемость или рост прибыли заранее.</w:t>
            </w:r>
          </w:p>
        </w:tc>
      </w:tr>
      <w:tr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Кейсы</w:t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Кейсы — обобщенные управленческие примеры применения CLM.</w:t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Кейсы доказывают реальные результаты конкретных клиентов.</w:t>
            </w:r>
          </w:p>
        </w:tc>
      </w:tr>
      <w:tr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Цены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Публичные цены берутся из документа цен и упаковки.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Можно менять цены отдельно в сайте, презентации или КП.</w:t>
            </w:r>
          </w:p>
        </w:tc>
      </w:tr>
    </w:tbl>
    <w:p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>
      <w:pPr>
        <w:spacing w:before="240" w:after="120"/>
      </w:pPr>
      <w:r>
        <w:rPr>
          <w:rFonts w:ascii="Arial" w:hAnsi="Arial" w:eastAsia="Arial"/>
          <w:b/>
          <w:color w:val="163247"/>
          <w:sz w:val="32"/>
        </w:rPr>
        <w:t>3. Правила гарантий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Гарантия</w:t>
            </w:r>
          </w:p>
        </w:tc>
        <w:tc>
          <w:tcPr>
            <w:tcW w:type="dxa" w:w="3457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Разрешенная рамка</w:t>
            </w:r>
          </w:p>
        </w:tc>
        <w:tc>
          <w:tcPr>
            <w:tcW w:type="dxa" w:w="3457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Ограничение</w:t>
            </w:r>
          </w:p>
        </w:tc>
      </w:tr>
      <w:tr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Качество Диагностики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Гарантируется методический разбор, карта разрывов и честный вердикт.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гарантируется наличие проблемы у каждого клиента.</w:t>
            </w:r>
          </w:p>
        </w:tc>
      </w:tr>
      <w:tr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3 C-level-разрыва</w:t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Можно использовать как критерий достаточного основания для продолжения.</w:t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Нельзя обещать заранее.</w:t>
            </w:r>
          </w:p>
        </w:tc>
      </w:tr>
      <w:tr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Корректирующий цикл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Сопровождение удерживает, корректирует, масштабирует или останавливает результат.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является бесплатной бесконечной переделкой.</w:t>
            </w:r>
          </w:p>
        </w:tc>
      </w:tr>
      <w:tr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Финансовый эффект</w:t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Формулируется после данных как гипотеза или подтвержденный факт.</w:t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обещается до Диагностики.</w:t>
            </w:r>
          </w:p>
        </w:tc>
      </w:tr>
    </w:tbl>
    <w:p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>
      <w:pPr>
        <w:spacing w:before="240" w:after="120"/>
      </w:pPr>
      <w:r>
        <w:rPr>
          <w:rFonts w:ascii="Arial" w:hAnsi="Arial" w:eastAsia="Arial"/>
          <w:b/>
          <w:color w:val="163247"/>
          <w:sz w:val="32"/>
        </w:rPr>
        <w:t>4. Антипозиционирование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CLM не является</w:t>
            </w:r>
          </w:p>
        </w:tc>
        <w:tc>
          <w:tcPr>
            <w:tcW w:type="dxa" w:w="5185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Как объяснять корректно</w:t>
            </w:r>
          </w:p>
        </w:tc>
      </w:tr>
      <w:tr>
        <w:tc>
          <w:tcPr>
            <w:tcW w:type="dxa" w:w="5185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HR-оценкой директоров</w:t>
            </w:r>
          </w:p>
        </w:tc>
        <w:tc>
          <w:tcPr>
            <w:tcW w:type="dxa" w:w="5185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CLM проверяет управляемость роли, мандата и решения, а не ставит личностный ярлык человеку.</w:t>
            </w:r>
          </w:p>
        </w:tc>
      </w:tr>
      <w:tr>
        <w:tc>
          <w:tcPr>
            <w:tcW w:type="dxa" w:w="5185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Executive coaching / коучингом руководителей</w:t>
            </w:r>
          </w:p>
        </w:tc>
        <w:tc>
          <w:tcPr>
            <w:tcW w:type="dxa" w:w="5185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CLM может выявить потребность в развитии, но настраивает систему владения решениями между директорами.</w:t>
            </w:r>
          </w:p>
        </w:tc>
      </w:tr>
      <w:tr>
        <w:tc>
          <w:tcPr>
            <w:tcW w:type="dxa" w:w="5185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Новой оргструктурой</w:t>
            </w:r>
          </w:p>
        </w:tc>
        <w:tc>
          <w:tcPr>
            <w:tcW w:type="dxa" w:w="5185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CLM может привести к изменению структуры, но начинает с реальной работы ролей и мандатов.</w:t>
            </w:r>
          </w:p>
        </w:tc>
      </w:tr>
      <w:tr>
        <w:tc>
          <w:tcPr>
            <w:tcW w:type="dxa" w:w="5185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Фасилитацией совещаний</w:t>
            </w:r>
          </w:p>
        </w:tc>
        <w:tc>
          <w:tcPr>
            <w:tcW w:type="dxa" w:w="5185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Сессия CLM обязана дать активный набор решений и паспорт Спринта.</w:t>
            </w:r>
          </w:p>
        </w:tc>
      </w:tr>
      <w:tr>
        <w:tc>
          <w:tcPr>
            <w:tcW w:type="dxa" w:w="5185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Board portal / порталом совета директоров</w:t>
            </w:r>
          </w:p>
        </w:tc>
        <w:tc>
          <w:tcPr>
            <w:tcW w:type="dxa" w:w="5185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CLM показывает управляемость C-level-ядра, а не только хранит материалы совета.</w:t>
            </w:r>
          </w:p>
        </w:tc>
      </w:tr>
      <w:tr>
        <w:tc>
          <w:tcPr>
            <w:tcW w:type="dxa" w:w="5185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BI-панелью</w:t>
            </w:r>
          </w:p>
        </w:tc>
        <w:tc>
          <w:tcPr>
            <w:tcW w:type="dxa" w:w="5185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CLM связывает метрики с владельцами решений и действиями.</w:t>
            </w:r>
          </w:p>
        </w:tc>
      </w:tr>
    </w:tbl>
    <w:p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p>
      <w:pPr>
        <w:spacing w:before="240" w:after="120"/>
      </w:pPr>
      <w:r>
        <w:rPr>
          <w:rFonts w:ascii="Arial" w:hAnsi="Arial" w:eastAsia="Arial"/>
          <w:b/>
          <w:color w:val="163247"/>
          <w:sz w:val="32"/>
        </w:rPr>
        <w:t>5. Контроль перед публикацией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3457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Да / нет</w:t>
            </w:r>
          </w:p>
        </w:tc>
        <w:tc>
          <w:tcPr>
            <w:tcW w:type="dxa" w:w="3457"/>
            <w:shd w:fill="1F4E7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Если нет</w:t>
            </w:r>
          </w:p>
        </w:tc>
      </w:tr>
      <w:tr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У каждого claim / утверждения есть источник.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Переписать как гипотезу или убрать.</w:t>
            </w:r>
          </w:p>
        </w:tc>
      </w:tr>
      <w:tr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Цены совпадают с документом цен.</w:t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публиковать до обновления SSOT.</w:t>
            </w:r>
          </w:p>
        </w:tc>
      </w:tr>
      <w:tr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Кейсы названы обобщенными примерами.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Добавить маркировку.</w:t>
            </w:r>
          </w:p>
        </w:tc>
      </w:tr>
      <w:tr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Финансовый эффект не обещан до данных.</w:t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</w:r>
          </w:p>
        </w:tc>
        <w:tc>
          <w:tcPr>
            <w:tcW w:type="dxa" w:w="3457"/>
            <w:shd w:fill="F3F5F7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Заменить на гипотезу после Диагностики.</w:t>
            </w:r>
          </w:p>
        </w:tc>
      </w:tr>
      <w:tr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Антипозиционирование не унижает рынок.</w:t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</w:r>
          </w:p>
        </w:tc>
        <w:tc>
          <w:tcPr>
            <w:tcW w:type="dxa" w:w="3457"/>
            <w:shd w:fill="FFFFFF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Переписать в сравнительную, а не атакующую форму.</w:t>
            </w:r>
          </w:p>
        </w:tc>
      </w:tr>
    </w:tbl>
    <w:p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6F4F1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>
              <w:rPr>
                <w:rFonts w:ascii="Arial" w:hAnsi="Arial" w:eastAsia="Arial"/>
                <w:b/>
                <w:color w:val="163247"/>
                <w:sz w:val="20"/>
              </w:rPr>
              <w:t xml:space="preserve">Вердикт P1C. </w:t>
            </w:r>
            <w:r>
              <w:rPr>
                <w:rFonts w:ascii="Arial" w:hAnsi="Arial" w:eastAsia="Arial"/>
                <w:b w:val="0"/>
                <w:color w:val="1F2937"/>
                <w:sz w:val="20"/>
              </w:rPr>
              <w:t>Публичный язык CLM можно использовать при условии, что сайт, презентация и КП берут claims / утверждения, цены, кейсы и гарантии из матрицы доказательности и этой политики.</w:t>
            </w:r>
          </w:p>
        </w:tc>
      </w:tr>
    </w:tbl>
    <w:p>
      <w:pPr>
        <w:spacing w:after="40" w:line="259" w:lineRule="auto"/>
      </w:pPr>
      <w:r>
        <w:rPr>
          <w:rFonts w:ascii="Arial" w:hAnsi="Arial" w:eastAsia="Arial"/>
          <w:b w:val="0"/>
          <w:color w:val="1F2937"/>
          <w:sz w:val="20"/>
        </w:rPr>
      </w:r>
    </w:p>
    <w:sectPr w:rsidR="00FC693F" w:rsidRPr="0006063C" w:rsidSect="00034616">
      <w:footerReference w:type="default" r:id="rId9"/>
      <w:pgSz w:w="12240" w:h="15840"/>
      <w:pgMar w:top="964" w:right="935" w:bottom="96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6B7280"/>
        <w:sz w:val="16"/>
      </w:rPr>
      <w:t>Управление Директорами / CLM · Политика утверждений · P1C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