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pStyle w:val="Title"/>
        <w:jc w:val="left"/>
      </w:pPr>
      <w:r>
        <w:t>Продуктовый слой реализации</w:t>
      </w:r>
    </w:p>
    <w:p>
      <w:r>
        <w:rPr>
          <w:color w:val="4A5568"/>
          <w:sz w:val="24"/>
        </w:rPr>
        <w:t>Как применять технологию CLM / C-Level Management через продукты Диагностика, Сессия, Спринт и Сопровождение.</w:t>
      </w:r>
    </w:p>
    <w:p>
      <w:r>
        <w:rPr>
          <w:rFonts w:ascii="Arial" w:hAnsi="Arial" w:eastAsia="Arial"/>
        </w:rPr>
        <w:t>Документ внутренний рабочий. Версия v1.</w:t>
      </w:r>
    </w:p>
    <w:p>
      <w:pPr>
        <w:pStyle w:val="Heading1"/>
      </w:pPr>
      <w:r>
        <w:t>1. Назначение документа</w:t>
      </w:r>
    </w:p>
    <w:p>
      <w:r>
        <w:t>Этот документ закрывает разрыв между описанием 12 блоков CLM и практической работой с клиентом. 12 блоков отвечают на вопрос, что именно проверяет и меняет технология. Продукты отвечают на вопрос, как это продается, запускается, проводится, контролируется и доводится до результата.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Borders>
              <w:top w:val="single" w:sz="6" w:space="0" w:color="B7D9D2"/>
              <w:left w:val="single" w:sz="6" w:space="0" w:color="B7D9D2"/>
              <w:bottom w:val="single" w:sz="6" w:space="0" w:color="B7D9D2"/>
              <w:right w:val="single" w:sz="6" w:space="0" w:color="B7D9D2"/>
            </w:tcBorders>
          </w:tcPr>
          <w:p>
            <w:r/>
            <w:r>
              <w:rPr>
                <w:b/>
                <w:color w:val="16324F"/>
                <w:sz w:val="20"/>
              </w:rPr>
              <w:t>Ключевое правило</w:t>
            </w:r>
          </w:p>
          <w:p>
            <w:r>
              <w:rPr>
                <w:sz w:val="18"/>
              </w:rPr>
              <w:t>Коммерческое название продукта — Управление Директорами. CLM / C-Level Management остается технологическим основанием, внутренним языком методологии и базой 12 блоков.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Логика цепи продуктов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172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288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Главная задача</w:t>
            </w:r>
          </w:p>
        </w:tc>
        <w:tc>
          <w:tcPr>
            <w:tcW w:type="dxa" w:w="252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2016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Следующий шаг</w:t>
            </w:r>
          </w:p>
        </w:tc>
      </w:tr>
      <w:tr>
        <w:tc>
          <w:tcPr>
            <w:tcW w:type="dxa" w:w="18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Диагностика</w:t>
            </w:r>
          </w:p>
        </w:tc>
        <w:tc>
          <w:tcPr>
            <w:tcW w:type="dxa" w:w="172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Обязательная и платная</w:t>
            </w:r>
          </w:p>
        </w:tc>
        <w:tc>
          <w:tcPr>
            <w:tcW w:type="dxa" w:w="28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Понять, есть ли управленческая проблема, мандат, владельцы и право продолжать</w:t>
            </w:r>
          </w:p>
        </w:tc>
        <w:tc>
          <w:tcPr>
            <w:tcW w:type="dxa" w:w="25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Вердикт: продолжать / продолжать при условиях / отложить / отказать</w:t>
            </w:r>
          </w:p>
        </w:tc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Сессия или Stop / остановка</w:t>
            </w:r>
          </w:p>
        </w:tc>
      </w:tr>
      <w:tr>
        <w:tc>
          <w:tcPr>
            <w:tcW w:type="dxa" w:w="18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Сессия</w:t>
            </w:r>
          </w:p>
        </w:tc>
        <w:tc>
          <w:tcPr>
            <w:tcW w:type="dxa" w:w="172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Запускается после диагностики</w:t>
            </w:r>
          </w:p>
        </w:tc>
        <w:tc>
          <w:tcPr>
            <w:tcW w:type="dxa" w:w="28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Собрать активный набор решений и не распыляться на всю карту проблем</w:t>
            </w:r>
          </w:p>
        </w:tc>
        <w:tc>
          <w:tcPr>
            <w:tcW w:type="dxa" w:w="25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</w:t>
            </w:r>
          </w:p>
        </w:tc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Спринт</w:t>
            </w:r>
          </w:p>
        </w:tc>
      </w:tr>
      <w:tr>
        <w:tc>
          <w:tcPr>
            <w:tcW w:type="dxa" w:w="18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Спринт</w:t>
            </w:r>
          </w:p>
        </w:tc>
        <w:tc>
          <w:tcPr>
            <w:tcW w:type="dxa" w:w="172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Проект реализации</w:t>
            </w:r>
          </w:p>
        </w:tc>
        <w:tc>
          <w:tcPr>
            <w:tcW w:type="dxa" w:w="28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Довести выбранное решение до фактического внедрения</w:t>
            </w:r>
          </w:p>
        </w:tc>
        <w:tc>
          <w:tcPr>
            <w:tcW w:type="dxa" w:w="25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Реализованный проект и рабочие артефакты</w:t>
            </w:r>
          </w:p>
        </w:tc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Сопровождение или завершение</w:t>
            </w:r>
          </w:p>
        </w:tc>
      </w:tr>
      <w:tr>
        <w:tc>
          <w:tcPr>
            <w:tcW w:type="dxa" w:w="18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Сопровождение</w:t>
            </w:r>
          </w:p>
        </w:tc>
        <w:tc>
          <w:tcPr>
            <w:tcW w:type="dxa" w:w="172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обязательно, но методологически желательно</w:t>
            </w:r>
          </w:p>
        </w:tc>
        <w:tc>
          <w:tcPr>
            <w:tcW w:type="dxa" w:w="28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Проверить удержание результата и отклонения после Спринта</w:t>
            </w:r>
          </w:p>
        </w:tc>
        <w:tc>
          <w:tcPr>
            <w:tcW w:type="dxa" w:w="25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Решение о следующем цикле</w:t>
            </w:r>
          </w:p>
        </w:tc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Удержание / корректировка / масштабирование / завершение</w:t>
            </w:r>
          </w:p>
        </w:tc>
      </w:tr>
    </w:tbl>
    <w:p>
      <w:pPr>
        <w:pStyle w:val="Heading1"/>
      </w:pPr>
      <w:r>
        <w:t>3. Связь продуктов с 12 блоками</w:t>
      </w:r>
    </w:p>
    <w:p>
      <w:r>
        <w:drawing>
          <wp:inline xmlns:a="http://schemas.openxmlformats.org/drawingml/2006/main" xmlns:pic="http://schemas.openxmlformats.org/drawingml/2006/picture">
            <wp:extent cx="6583680" cy="3599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_products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599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Смысл матрицы: блоки не превращаются в отдельные продажи. Они становятся рабочими линзами внутри продуктовой цепи. Это сохраняет силу CLM и не перегружает клиента устройством технологии раньше времени.</w:t>
      </w:r>
    </w:p>
    <w:p>
      <w:pPr>
        <w:pStyle w:val="Heading1"/>
      </w:pPr>
      <w:r>
        <w:t>4. Что входит в комплект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016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316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Роль в цепи</w:t>
            </w:r>
          </w:p>
        </w:tc>
        <w:tc>
          <w:tcPr>
            <w:tcW w:type="dxa" w:w="259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Вход</w:t>
            </w:r>
          </w:p>
        </w:tc>
        <w:tc>
          <w:tcPr>
            <w:tcW w:type="dxa" w:w="259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Выход</w:t>
            </w:r>
          </w:p>
        </w:tc>
      </w:tr>
      <w:tr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Управление Директорами. Диагностика</w:t>
            </w:r>
          </w:p>
        </w:tc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Первое и единственное обязательное звено цепи. Платность дисциплинирует клиента, отсекает случайный спрос и дает право на честный отказ от дальнейшей работы.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Первичный запрос собственника, CEO / генерального директора, Board / совета директоров или C-level-команды.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Протокол вердикта: продолжать к Сессии, продолжать при условиях, отложить или отказать от дальнейшей работы.</w:t>
            </w:r>
          </w:p>
        </w:tc>
      </w:tr>
      <w:tr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Управление Директорами. Сессия</w:t>
            </w:r>
          </w:p>
        </w:tc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Сессия не является обсуждением всего найденного. Ее задача - выбрать, что реально делать дальше, кто владелец, какой эффект нужен и какой Спринт запускается.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Вердикт диагностики GO / запускать или GO при условиях, подтвержденный владельцем запроса.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Спринта: активный набор решений, владельцы, условия запуска, условия остановки, ожидаемый результат.</w:t>
            </w:r>
          </w:p>
        </w:tc>
      </w:tr>
      <w:tr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Управление Директорами. Спринт</w:t>
            </w:r>
          </w:p>
        </w:tc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Спринт берет один или несколько приоритетов из Сессии и превращает их в работающие правила, артефакты, ритмы, решения и контроль.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Спринта, утвержденный владелец эффекта, владелец решения, владелец данных и допустимые границы изменения.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Реализованный проект: принятое решение, внедренный артефакт, новый ритм, обновленная панель или дорожная карта.</w:t>
            </w:r>
          </w:p>
        </w:tc>
      </w:tr>
      <w:tr>
        <w:tc>
          <w:tcPr>
            <w:tcW w:type="dxa" w:w="201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Управление Директорами. Сопровождение</w:t>
            </w:r>
          </w:p>
        </w:tc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Сопровождение не является обязательным, но методология должна показывать клиенту цену отсутствия контроля после изменения.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Завершенный Спринт и минимум один внедренный результат, который можно проверить фактами.</w:t>
            </w:r>
          </w:p>
        </w:tc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Решение о дальнейшем цикле: удерживать, корректировать, масштабировать, вернуться к Сессии или завершить работу.</w:t>
            </w:r>
          </w:p>
        </w:tc>
      </w:tr>
    </w:tbl>
    <w:p>
      <w:pPr>
        <w:pStyle w:val="Heading1"/>
      </w:pPr>
      <w:r>
        <w:t>5. Минимальный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16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Контроль</w:t>
            </w:r>
          </w:p>
        </w:tc>
        <w:tc>
          <w:tcPr>
            <w:tcW w:type="dxa" w:w="3456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Запрет</w:t>
            </w:r>
          </w:p>
        </w:tc>
        <w:tc>
          <w:tcPr>
            <w:tcW w:type="dxa" w:w="432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Что должно быть в файлах</w:t>
            </w:r>
          </w:p>
        </w:tc>
      </w:tr>
      <w:tr>
        <w:tc>
          <w:tcPr>
            <w:tcW w:type="dxa" w:w="216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Контроль входа</w:t>
            </w:r>
          </w:p>
        </w:tc>
        <w:tc>
          <w:tcPr>
            <w:tcW w:type="dxa" w:w="345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начинать работу без владельца запроса и мандата</w:t>
            </w:r>
          </w:p>
        </w:tc>
        <w:tc>
          <w:tcPr>
            <w:tcW w:type="dxa" w:w="43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Заполненная карточка запроса, допуск, ожидание результата</w:t>
            </w:r>
          </w:p>
        </w:tc>
      </w:tr>
      <w:tr>
        <w:tc>
          <w:tcPr>
            <w:tcW w:type="dxa" w:w="216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Контроль смысла</w:t>
            </w:r>
          </w:p>
        </w:tc>
        <w:tc>
          <w:tcPr>
            <w:tcW w:type="dxa" w:w="345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превращать CLM в общий консалтинг</w:t>
            </w:r>
          </w:p>
        </w:tc>
        <w:tc>
          <w:tcPr>
            <w:tcW w:type="dxa" w:w="43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Привязка к ролям, мандатам, решениям, данным, доверию, панели и артефактам</w:t>
            </w:r>
          </w:p>
        </w:tc>
      </w:tr>
      <w:tr>
        <w:tc>
          <w:tcPr>
            <w:tcW w:type="dxa" w:w="216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Контроль ручного ввода</w:t>
            </w:r>
          </w:p>
        </w:tc>
        <w:tc>
          <w:tcPr>
            <w:tcW w:type="dxa" w:w="345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плодить таблицы ради таблиц</w:t>
            </w:r>
          </w:p>
        </w:tc>
        <w:tc>
          <w:tcPr>
            <w:tcW w:type="dxa" w:w="43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Каждый лист имеет назначение, подсказки и итоговое решение</w:t>
            </w:r>
          </w:p>
        </w:tc>
      </w:tr>
      <w:tr>
        <w:tc>
          <w:tcPr>
            <w:tcW w:type="dxa" w:w="216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Контроль выхода</w:t>
            </w:r>
          </w:p>
        </w:tc>
        <w:tc>
          <w:tcPr>
            <w:tcW w:type="dxa" w:w="3456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закрывать продукт без управленческого решения</w:t>
            </w:r>
          </w:p>
        </w:tc>
        <w:tc>
          <w:tcPr>
            <w:tcW w:type="dxa" w:w="432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Вердикт, паспорт Спринта, реализованный проект или решение о следующем цикле</w:t>
            </w:r>
          </w:p>
        </w:tc>
      </w:tr>
    </w:tbl>
    <w:p>
      <w:pPr>
        <w:pStyle w:val="Heading1"/>
      </w:pPr>
      <w:r>
        <w:t>6. Ролевой контроль перед выпуском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59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Роль проверки</w:t>
            </w:r>
          </w:p>
        </w:tc>
        <w:tc>
          <w:tcPr>
            <w:tcW w:type="dxa" w:w="144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Вердикт</w:t>
            </w:r>
          </w:p>
        </w:tc>
        <w:tc>
          <w:tcPr>
            <w:tcW w:type="dxa" w:w="619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Архитектор CLM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Продуктовый слой не ломает 12 блоков, а задает путь применения.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Методолог-дедупликатор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Смысл блоков не дублируется в продуктах, а используется как рабочий источник.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XLSX-инженер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Рабочие книги заданы как короткие управляемые формы, а не как огромные регистры.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Редактор C-Level Insight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Документы сделаны в единой структуре, с таблицами и схемами.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Коммерческий внедренец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Диагностика закреплена как платный фильтр, Сопровождение выстроено как логичный контроль результата.</w:t>
            </w:r>
          </w:p>
        </w:tc>
      </w:tr>
      <w:tr>
        <w:tc>
          <w:tcPr>
            <w:tcW w:type="dxa" w:w="25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QA / контроль соответствия</w:t>
            </w:r>
          </w:p>
        </w:tc>
        <w:tc>
          <w:tcPr>
            <w:tcW w:type="dxa" w:w="144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GO / запускать</w:t>
            </w:r>
          </w:p>
        </w:tc>
        <w:tc>
          <w:tcPr>
            <w:tcW w:type="dxa" w:w="619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Для каждого продукта есть вход, выход, запреты перехода и контрольный артефакт.</w:t>
            </w:r>
          </w:p>
        </w:tc>
      </w:tr>
    </w:tbl>
    <w:sectPr w:rsidR="00FC693F" w:rsidRPr="0006063C" w:rsidSect="00034616">
      <w:headerReference w:type="default" r:id="rId11"/>
      <w:footerReference w:type="default" r:id="rId12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UD_PRODUCT_OPERATING_LAYER_V1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