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80"/>
      </w:pPr>
      <w:r>
        <w:rPr>
          <w:rFonts w:ascii="Arial" w:hAnsi="Arial" w:eastAsia="Arial"/>
        </w:rPr>
        <w:t>Управление Директорами. Цены и упаковка продуктов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Коммерческая сетка, логика ценности, продуктовая лестница и правила показа цены на сайте.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Главное решение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CLM продается не как набор документов и не как консультационные часы. Продается управленческое снижение риска: CEO перестает быть ручным центром, первый круг получает роли, мандаты, Decision OS / систему решений, панель и дорожную карту.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Основание ценовой сетки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Источник</w:t>
            </w:r>
          </w:p>
        </w:tc>
        <w:tc>
          <w:tcPr>
            <w:tcW w:type="dxa" w:w="36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взято</w:t>
            </w:r>
          </w:p>
        </w:tc>
        <w:tc>
          <w:tcPr>
            <w:tcW w:type="dxa" w:w="346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применено в CLM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Операционные карты 1.1-1.4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 300-500 тыс. ₽, Сессия 700 тыс.-1,5 млн ₽, Спринт 900 тыс.-1,5 млн ₽, Сопровождение 1,2-2,0 млн ₽/мес.</w:t>
            </w:r>
          </w:p>
        </w:tc>
        <w:tc>
          <w:tcPr>
            <w:tcW w:type="dxa" w:w="3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Базовые продуктовые диапазоны.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Grand Slam Offer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Ценность, гарантии, ценовые якоря, полный цикл от 1,9 млн ₽ и цикл с Сопровождение от 9,1 млн ₽.</w:t>
            </w:r>
          </w:p>
        </w:tc>
        <w:tc>
          <w:tcPr>
            <w:tcW w:type="dxa" w:w="3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Логика подачи цены после ценности и доказательств.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Методологический гайд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Переходы между форматами, трудозатраты, ресурсы клиента, минимальная и полная версии.</w:t>
            </w:r>
          </w:p>
        </w:tc>
        <w:tc>
          <w:tcPr>
            <w:tcW w:type="dxa" w:w="3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Критерии повышения и снижения стоимости.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Текущий релиз CLM</w:t>
            </w:r>
          </w:p>
        </w:tc>
        <w:tc>
          <w:tcPr>
            <w:tcW w:type="dxa" w:w="36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12 DOCX, рабочий XLSX-слой 3-12, FAQ, глоссарий, кейсы.</w:t>
            </w:r>
          </w:p>
        </w:tc>
        <w:tc>
          <w:tcPr>
            <w:tcW w:type="dxa" w:w="34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Обновленный состав продукта, который надо продавать клиенту.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Продуктовая лестница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0B1F33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Вход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Диагностика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Сессия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0F766E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Спринт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0B1F33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Сопровождение</w:t>
            </w:r>
          </w:p>
        </w:tc>
      </w:tr>
      <w:t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EBDD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Презентация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Разрыв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Проверка</w:t>
            </w:r>
          </w:p>
        </w:tc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EBDD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Удержание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5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Продукт</w:t>
            </w:r>
          </w:p>
        </w:tc>
        <w:tc>
          <w:tcPr>
            <w:tcW w:type="dxa" w:w="280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нужен</w:t>
            </w:r>
          </w:p>
        </w:tc>
        <w:tc>
          <w:tcPr>
            <w:tcW w:type="dxa" w:w="326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получает клиент</w:t>
            </w:r>
          </w:p>
        </w:tc>
        <w:tc>
          <w:tcPr>
            <w:tcW w:type="dxa" w:w="145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Цена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Презентация CLM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интерес, запрос с сайта, теплый вход, рекомендация.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Понимание технологии, 12 блоков, продуктов, кейсов и возможной точки входа.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Бесплатно / по запросу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Стратегический разговор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Нужно понять, есть ли fit / соответствие между болью клиента и CLM.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Квалификация проблемы, масштаба, доступа к CEO и готовности к следующему шагу.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Бесплатно, 45-60 мин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Диагностика CLM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Есть ощущение хаоса, ручного CEO, конфликтов C-level, но нет подтвержденного диагноза.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Диагноз, карта разрывов, рекомендация следующего формата.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300 000 - 500 000 ₽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CLM-сессия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Диагноз подтвержден, нужно собрать целевую архитектуру первого круга.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Целевая конфигурация C-level, мандаты, ownership / владение, Decision OS / система решений, план 30 / 60 / 90.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700 000 - 1 500 000 ₽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CLM-спринт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Архитектура собрана, нужно проверить ее на одном ограниченном контуре.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Проверенный контур, метрики до / после, weekly review / еженедельный разбор, управленческий вердикт.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900 000 - 1 500 000 ₽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CLM Сопровождение</w:t>
            </w:r>
          </w:p>
        </w:tc>
        <w:tc>
          <w:tcPr>
            <w:tcW w:type="dxa" w:w="2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Нужно удерживать архитектуру во времени под ростом, конфликтами, AI / ИИ и давлением.</w:t>
            </w:r>
          </w:p>
        </w:tc>
        <w:tc>
          <w:tcPr>
            <w:tcW w:type="dxa" w:w="32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2-4 касания в месяц, ежемесячный review / разбор, карта рисков, поддержка Decision OS.</w:t>
            </w:r>
          </w:p>
        </w:tc>
        <w:tc>
          <w:tcPr>
            <w:tcW w:type="dxa" w:w="14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1 200 000 - 2 000 000 ₽/мес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Пакеты и якоря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5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Пакет</w:t>
            </w:r>
          </w:p>
        </w:tc>
        <w:tc>
          <w:tcPr>
            <w:tcW w:type="dxa" w:w="25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Состав</w:t>
            </w:r>
          </w:p>
        </w:tc>
        <w:tc>
          <w:tcPr>
            <w:tcW w:type="dxa" w:w="21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Для кого</w:t>
            </w:r>
          </w:p>
        </w:tc>
        <w:tc>
          <w:tcPr>
            <w:tcW w:type="dxa" w:w="21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Коммерческий смысл</w:t>
            </w:r>
          </w:p>
        </w:tc>
        <w:tc>
          <w:tcPr>
            <w:tcW w:type="dxa" w:w="116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Цена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Старт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Презентация + стратегический разговор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еще выбирает подход.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продавать вслепую; определить точку входа.</w:t>
            </w:r>
          </w:p>
        </w:tc>
        <w:tc>
          <w:tcPr>
            <w:tcW w:type="dxa" w:w="1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0 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Диагноз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CLM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CEO / собственник с подозрением на системный разрыв.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Низкорисковый вход без обещания большой трансформации.</w:t>
            </w:r>
          </w:p>
        </w:tc>
        <w:tc>
          <w:tcPr>
            <w:tcW w:type="dxa" w:w="1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300-500 тыс. 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Архитектурное решение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+ Сессия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Проблема подтверждена, нужна целевая конфигурация.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Перевод боли в архитектуру, мандаты и план.</w:t>
            </w:r>
          </w:p>
        </w:tc>
        <w:tc>
          <w:tcPr>
            <w:tcW w:type="dxa" w:w="1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1,0-2,0 млн 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Полный цикл без сопровождения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+ Сессия + Спринт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Нужно не только спроектировать, но и проверить на практике.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Минимальный полноценный цикл внедрения.</w:t>
            </w:r>
          </w:p>
        </w:tc>
        <w:tc>
          <w:tcPr>
            <w:tcW w:type="dxa" w:w="1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от 1,9 млн ₽; рабочий стандарт 2,9-3,5 млн 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Полный цикл + Сопровождение</w:t>
            </w:r>
          </w:p>
        </w:tc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 + Сессия + Спринт + 6 мес сопровождения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Сложная компания, высокий риск отката.</w:t>
            </w:r>
          </w:p>
        </w:tc>
        <w:tc>
          <w:tcPr>
            <w:tcW w:type="dxa" w:w="2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Долгое удержание управляемости.</w:t>
            </w:r>
          </w:p>
        </w:tc>
        <w:tc>
          <w:tcPr>
            <w:tcW w:type="dxa" w:w="11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от 9,1 млн ₽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Как согласовать 1,9 млн ₽ и 2,9 млн ₽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1,9 млн ₽ — арифметический минимальный вход: нижняя граница Диагностики, Сессии и Спринта. 2,9 млн ₽ — рекомендуемый коммерческий стандарт полного цикла для нормальной глубины работы, управляемого scope / объема и качества артефактов.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Факторы цены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Повышают стоимость</w:t>
            </w:r>
          </w:p>
        </w:tc>
        <w:tc>
          <w:tcPr>
            <w:tcW w:type="dxa" w:w="468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Снижают стоимость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Компания 1000+ человек, несколько бизнес-контуров, сложный Board / совет директоров.</w:t>
            </w:r>
          </w:p>
        </w:tc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Один узкий контур: 1-2 критичных стыка и ограниченный состав участников.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Высокий перегруз CEO, срочность, кризис, конфликт собственников или риск ухода ключевого C-level.</w:t>
            </w:r>
          </w:p>
        </w:tc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 клиента уже есть часть данных, протоколы решений и готовность C-level к работе.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Нужно пересобирать Decision OS / систему решений, панель, ритмы и артефакты одновременно.</w:t>
            </w:r>
          </w:p>
        </w:tc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Нужна только диагностика или сессия без внедрения.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Подключается AI / ИИ-контур, данные, риски, человеческая проверка и экономика сценариев.</w:t>
            </w:r>
          </w:p>
        </w:tc>
        <w:tc>
          <w:tcPr>
            <w:tcW w:type="dxa" w:w="46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AI / ИИ не входит в scope / объем, нет необходимости в глубокой XLSX-автоматизации.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Гарантии и риск-реверс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0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Формат</w:t>
            </w:r>
          </w:p>
        </w:tc>
        <w:tc>
          <w:tcPr>
            <w:tcW w:type="dxa" w:w="410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Гарантия</w:t>
            </w:r>
          </w:p>
        </w:tc>
        <w:tc>
          <w:tcPr>
            <w:tcW w:type="dxa" w:w="3760"/>
            <w:shd w:fill="0F766E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Диагностика</w:t>
            </w:r>
          </w:p>
        </w:tc>
        <w:tc>
          <w:tcPr>
            <w:tcW w:type="dxa" w:w="4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Если не найдено минимум 3 критических C-level-разрыва, диагностика не считается состоявшейся.</w:t>
            </w:r>
          </w:p>
        </w:tc>
        <w:tc>
          <w:tcPr>
            <w:tcW w:type="dxa" w:w="3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 сайте формулировать осторожно: гарантия качества диагноза, а не обещание проблемы у всех.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Сессия</w:t>
            </w:r>
          </w:p>
        </w:tc>
        <w:tc>
          <w:tcPr>
            <w:tcW w:type="dxa" w:w="4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 получает целевую конфигурацию, карту мандатов и план 30 / 60 / 90; если нет — корректировка без доплаты.</w:t>
            </w:r>
          </w:p>
        </w:tc>
        <w:tc>
          <w:tcPr>
            <w:tcW w:type="dxa" w:w="3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Сильная гарантия артефакта.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Спринт</w:t>
            </w:r>
          </w:p>
        </w:tc>
        <w:tc>
          <w:tcPr>
            <w:tcW w:type="dxa" w:w="4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Метрики фиксируются до старта; если базовые метрики не двигаются, проводится корректирующий цикл.</w:t>
            </w:r>
          </w:p>
        </w:tc>
        <w:tc>
          <w:tcPr>
            <w:tcW w:type="dxa" w:w="3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Возврат 50% оставить как опцию для личных переговоров, не обязательно выносить на сайт.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5"/>
              </w:rPr>
              <w:t>Сопровождение</w:t>
            </w:r>
          </w:p>
        </w:tc>
        <w:tc>
          <w:tcPr>
            <w:tcW w:type="dxa" w:w="41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Если по вине консультанта не состоялось согласованное архитектурное касание, месяц корректируется.</w:t>
            </w:r>
          </w:p>
        </w:tc>
        <w:tc>
          <w:tcPr>
            <w:tcW w:type="dxa" w:w="37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Простая гарантия ритма.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Как показывать цены на сайте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Место</w:t>
            </w:r>
          </w:p>
        </w:tc>
        <w:tc>
          <w:tcPr>
            <w:tcW w:type="dxa" w:w="395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показывать</w:t>
            </w:r>
          </w:p>
        </w:tc>
        <w:tc>
          <w:tcPr>
            <w:tcW w:type="dxa" w:w="351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не делать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Первый экран</w:t>
            </w:r>
          </w:p>
        </w:tc>
        <w:tc>
          <w:tcPr>
            <w:tcW w:type="dxa" w:w="3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Проблема, конфликт, обещание, запрос презентации.</w:t>
            </w:r>
          </w:p>
        </w:tc>
        <w:tc>
          <w:tcPr>
            <w:tcW w:type="dxa" w:w="3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показывать цену до ценности.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После механизма CLM</w:t>
            </w:r>
          </w:p>
        </w:tc>
        <w:tc>
          <w:tcPr>
            <w:tcW w:type="dxa" w:w="3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Продуктовую лестницу и минимальный вход: Диагностика от 300 тыс. ₽.</w:t>
            </w:r>
          </w:p>
        </w:tc>
        <w:tc>
          <w:tcPr>
            <w:tcW w:type="dxa" w:w="3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грузить всеми пакетами сразу.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Страница продуктов</w:t>
            </w:r>
          </w:p>
        </w:tc>
        <w:tc>
          <w:tcPr>
            <w:tcW w:type="dxa" w:w="3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Диапазоны по каждому формату, состав, срок, результат, кому подходит.</w:t>
            </w:r>
          </w:p>
        </w:tc>
        <w:tc>
          <w:tcPr>
            <w:tcW w:type="dxa" w:w="3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продавать “часы консультанта”.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Страница цен</w:t>
            </w:r>
          </w:p>
        </w:tc>
        <w:tc>
          <w:tcPr>
            <w:tcW w:type="dxa" w:w="3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Пакеты: Диагноз, Архитектурное решение, Полный цикл, Полный цикл + Сопровождение.</w:t>
            </w:r>
          </w:p>
        </w:tc>
        <w:tc>
          <w:tcPr>
            <w:tcW w:type="dxa" w:w="3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обещать финансовый результат без диагностики.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Форма</w:t>
            </w:r>
          </w:p>
        </w:tc>
        <w:tc>
          <w:tcPr>
            <w:tcW w:type="dxa" w:w="395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Запросить презентацию и варианты формата.</w:t>
            </w:r>
          </w:p>
        </w:tc>
        <w:tc>
          <w:tcPr>
            <w:tcW w:type="dxa" w:w="351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просить купить сразу с сайта.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Режим</w:t>
            </w:r>
          </w:p>
        </w:tc>
        <w:tc>
          <w:tcPr>
            <w:tcW w:type="dxa" w:w="180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Вердикт</w:t>
            </w:r>
          </w:p>
        </w:tc>
        <w:tc>
          <w:tcPr>
            <w:tcW w:type="dxa" w:w="5060"/>
            <w:shd w:fill="0B1F33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Коммерческий внедренец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понятная лестница входа и ценовые диапазоны.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Цена увязана с разгрузкой CEO, решениями и управляемостью.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Финансовый скептик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с условием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Нужны кейсы и расчет цены проблемы в каждом коммерческом материале.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/>
                <w:i w:val="0"/>
                <w:color w:val="111827"/>
                <w:sz w:val="16"/>
              </w:rPr>
              <w:t>Редактор сайта</w:t>
            </w:r>
          </w:p>
        </w:tc>
        <w:tc>
          <w:tcPr>
            <w:tcW w:type="dxa" w:w="1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06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BFAF7"/>
          </w:tcPr>
          <w:p>
            <w:pPr>
              <w:spacing w:after="0" w:line="254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Цены можно ставить после ценности, а не прятать полностью.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CLM_PRODUCT_PRICING_AND_PACKAGING_V1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