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7A8C"/>
          <w:sz w:val="20"/>
        </w:rPr>
        <w:t>Управление Директорами</w:t>
      </w:r>
    </w:p>
    <w:p>
      <w:r>
        <w:rPr>
          <w:rFonts w:ascii="Arial" w:hAnsi="Arial" w:eastAsia="Arial"/>
          <w:color w:val="4A5568"/>
          <w:sz w:val="18"/>
        </w:rPr>
        <w:t>Технологическая основа: CLM / C-Level Management / управление C-level-ядром.</w:t>
      </w:r>
    </w:p>
    <w:p>
      <w:pPr>
        <w:pStyle w:val="Title"/>
        <w:jc w:val="left"/>
      </w:pPr>
      <w:r>
        <w:t>Управление Директорами. Диагностика</w:t>
      </w:r>
    </w:p>
    <w:p>
      <w:r>
        <w:rPr>
          <w:color w:val="4A5568"/>
          <w:sz w:val="24"/>
        </w:rPr>
        <w:t>Обязательный платный вход: проверить управляемость C-level-ядра и принять честный вердикт продолжать / остановить.</w:t>
      </w:r>
    </w:p>
    <w:p>
      <w:r>
        <w:rPr>
          <w:rFonts w:ascii="Arial" w:hAnsi="Arial" w:eastAsia="Arial"/>
        </w:rPr>
        <w:t>Документ внутренний рабочий. Версия v1.</w:t>
      </w:r>
    </w:p>
    <w:p>
      <w:pPr>
        <w:pStyle w:val="Heading1"/>
      </w:pPr>
      <w:r>
        <w:t>1. Назначение продукта</w:t>
      </w:r>
    </w:p>
    <w:p>
      <w:r>
        <w:t>Первое и единственное обязательное звено цепи. Платность дисциплинирует клиента, отсекает случайный спрос и дает право на честный отказ от дальнейшей работы.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6F4F1"/>
            <w:tcBorders>
              <w:top w:val="single" w:sz="6" w:space="0" w:color="B7D9D2"/>
              <w:left w:val="single" w:sz="6" w:space="0" w:color="B7D9D2"/>
              <w:bottom w:val="single" w:sz="6" w:space="0" w:color="B7D9D2"/>
              <w:right w:val="single" w:sz="6" w:space="0" w:color="B7D9D2"/>
            </w:tcBorders>
          </w:tcPr>
          <w:p>
            <w:r/>
            <w:r>
              <w:rPr>
                <w:b/>
                <w:color w:val="16324F"/>
                <w:sz w:val="20"/>
              </w:rPr>
              <w:t>Рабочий принцип</w:t>
            </w:r>
          </w:p>
          <w:p>
            <w:r>
              <w:rPr>
                <w:sz w:val="18"/>
              </w:rPr>
              <w:t>Этот документ предназначен для внутренней работы консультанта. Цены не указываются: коммерческая сетка живет в отдельном файле с ценами и упаковкой.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583680" cy="2282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ka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28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Вход и выход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4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Элемент</w:t>
            </w:r>
          </w:p>
        </w:tc>
        <w:tc>
          <w:tcPr>
            <w:tcW w:type="dxa" w:w="763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Вход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Первичный запрос собственника, CEO / генерального директора, Board / совета директоров или C-level-команды.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Выход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Протокол вердикта: продолжать к Сессии, продолжать при условиях, отложить или отказать от дальнейшей работы.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Ключевые блоки CLM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1-3 обязательно; 4-10 точечно как диагностические линзы; 11-12 только как предварительный контур возможного выхода.</w:t>
            </w:r>
          </w:p>
        </w:tc>
      </w:tr>
      <w:tr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Главный риск</w:t>
            </w:r>
          </w:p>
        </w:tc>
        <w:tc>
          <w:tcPr>
            <w:tcW w:type="dxa" w:w="763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Главный риск - превратить диагностику в бесплатную консультацию или общий аудит без права сказать Stop / остановить.</w:t>
            </w:r>
          </w:p>
        </w:tc>
      </w:tr>
    </w:tbl>
    <w:p>
      <w:pPr>
        <w:pStyle w:val="Heading1"/>
      </w:pPr>
      <w:r>
        <w:t>3. Рабочая последовательность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6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Шаг</w:t>
            </w:r>
          </w:p>
        </w:tc>
        <w:tc>
          <w:tcPr>
            <w:tcW w:type="dxa" w:w="2304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Действие</w:t>
            </w:r>
          </w:p>
        </w:tc>
        <w:tc>
          <w:tcPr>
            <w:tcW w:type="dxa" w:w="4464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Зачем</w:t>
            </w:r>
          </w:p>
        </w:tc>
        <w:tc>
          <w:tcPr>
            <w:tcW w:type="dxa" w:w="244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Артефакт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Зафиксировать запрос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Понять триггер, владельца, цену ошибки и ожидание клиента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Карточка первичного запроса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Проверить допуск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Отсечь случайный спрос, отсутствие мандата и неподходящие ожидания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Чеклист допуска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Собрать карту C-level-ядра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Проверить роли, мандаты, решения, данные, доверие и ритмы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Рабочая книга диагностики</w:t>
            </w:r>
          </w:p>
        </w:tc>
      </w:tr>
      <w:tr>
        <w:tc>
          <w:tcPr>
            <w:tcW w:type="dxa" w:w="6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0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Сформировать вердикт</w:t>
            </w:r>
          </w:p>
        </w:tc>
        <w:tc>
          <w:tcPr>
            <w:tcW w:type="dxa" w:w="4464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Дать честное решение о продолжении</w:t>
            </w:r>
          </w:p>
        </w:tc>
        <w:tc>
          <w:tcPr>
            <w:tcW w:type="dxa" w:w="244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Протокол вердикта</w:t>
            </w:r>
          </w:p>
        </w:tc>
      </w:tr>
    </w:tbl>
    <w:p>
      <w:pPr>
        <w:pStyle w:val="Heading1"/>
      </w:pPr>
      <w:r>
        <w:t>4. Что заполняется в XLSX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16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Лист</w:t>
            </w:r>
          </w:p>
        </w:tc>
        <w:tc>
          <w:tcPr>
            <w:tcW w:type="dxa" w:w="691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00 Индекс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01 Первичный запрос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02 Допуск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03 Роли и мандаты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04 Разрывы CLM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type="dxa" w:w="316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05 Вердикт</w:t>
            </w:r>
          </w:p>
        </w:tc>
        <w:tc>
          <w:tcPr>
            <w:tcW w:type="dxa" w:w="691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</w:tbl>
    <w:p>
      <w:pPr>
        <w:pStyle w:val="Heading1"/>
      </w:pPr>
      <w:r>
        <w:t>5. Стоп-факторы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60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Стоп-фактор</w:t>
            </w:r>
          </w:p>
        </w:tc>
        <w:tc>
          <w:tcPr>
            <w:tcW w:type="dxa" w:w="6480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Что делать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владельца запроса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Остановить работу до назначения владельца.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права на честный вывод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 начинать продукт, потому что результат будет политически безопасным, но бесполезным.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Нет фактов, только мнения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Снизить уровень вывода до гипотезы и запросить подтверждение.</w:t>
            </w:r>
          </w:p>
        </w:tc>
      </w:tr>
      <w:tr>
        <w:tc>
          <w:tcPr>
            <w:tcW w:type="dxa" w:w="360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Клиент требует пропустить обязательный шаг</w:t>
            </w:r>
          </w:p>
        </w:tc>
        <w:tc>
          <w:tcPr>
            <w:tcW w:type="dxa" w:w="6480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Зафиксировать риск и не продавать следующий продукт как полноценный.</w:t>
            </w:r>
          </w:p>
        </w:tc>
      </w:tr>
    </w:tbl>
    <w:p>
      <w:pPr>
        <w:pStyle w:val="Heading1"/>
      </w:pPr>
      <w:r>
        <w:t>6. Проверка перед закрытием продукта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608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5472"/>
            <w:shd w:fill="16324F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r>
              <w:rPr>
                <w:b/>
                <w:color w:val="FFFFFF"/>
                <w:sz w:val="18"/>
              </w:rPr>
              <w:t>Ответ должен быть виден в документах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Какой управленческий разрыв был решен или проверен?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есть конкретная формулировка.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Кто владелец следующего действия?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указан человек или роль, а не абстрактная функция.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Какой документ является итогом?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итоговый артефакт создан и связан с XLSX.</w:t>
            </w:r>
          </w:p>
        </w:tc>
      </w:tr>
      <w:tr>
        <w:tc>
          <w:tcPr>
            <w:tcW w:type="dxa" w:w="4608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Можно ли показать клиенту пользу без объяснения всей CLM?</w:t>
            </w:r>
          </w:p>
        </w:tc>
        <w:tc>
          <w:tcPr>
            <w:tcW w:type="dxa" w:w="5472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vAlign w:val="top"/>
          </w:tcPr>
          <w:p>
            <w:r>
              <w:rPr>
                <w:sz w:val="18"/>
              </w:rPr>
              <w:t>Да, результат понятен на языке бизнеса.</w:t>
            </w:r>
          </w:p>
        </w:tc>
      </w:tr>
    </w:tbl>
    <w:sectPr w:rsidR="00FC693F" w:rsidRPr="0006063C" w:rsidSect="00034616">
      <w:headerReference w:type="default" r:id="rId10"/>
      <w:footerReference w:type="default" r:id="rId11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</w:rPr>
      <w:t>Технологическая основа: CLM / C-Level Management / управление C-level-ядром.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Arial"/>
      </w:rPr>
      <w:t>Управление Директорами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7A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Директорами — UD_PRODUCT_01_DIAGNOSTIKA_INTERNAL_WORK_PROTOCOL_V1</dc:title>
  <dc:subject>Технологическая основа: CLM / C-Level Management / управление C-level-ядром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