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rial" w:hAnsi="Arial" w:eastAsia="Arial"/>
        </w:rPr>
        <w:t>Управление Директорами. Блок 6</w:t>
      </w:r>
    </w:p>
    <w:p>
      <w:r>
        <w:rPr>
          <w:rFonts w:ascii="Arial" w:hAnsi="Arial" w:eastAsia="Arial"/>
          <w:color w:val="4A5568"/>
          <w:sz w:val="18"/>
        </w:rPr>
        <w:t>Технологическая основа: CLM / C-Level Management / управление C-level-ядром.</w:t>
      </w:r>
    </w:p>
    <w:p>
      <w:r>
        <w:rPr>
          <w:rFonts w:ascii="Calibri" w:hAnsi="Calibri"/>
          <w:b/>
          <w:color w:val="0B1F33"/>
          <w:sz w:val="42"/>
        </w:rPr>
        <w:t>Блок 6. Синхронизация C-level-ядра</w:t>
      </w:r>
    </w:p>
    <w:p>
      <w:r>
        <w:rPr>
          <w:rFonts w:ascii="Calibri" w:hAnsi="Calibri"/>
          <w:color w:val="475569"/>
          <w:sz w:val="24"/>
        </w:rPr>
        <w:t>Ролевые интерфейсы, конфликты KPI / ключевых показателей, общий ритм, доверие и совместная ответственность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10166"/>
      </w:tblGrid>
      <w:tr>
        <w:tc>
          <w:tcPr>
            <w:tcW w:type="dxa" w:w="10166"/>
            <w:shd w:fill="F3EBDD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B46A3C"/>
                <w:sz w:val="20"/>
              </w:rPr>
              <w:t>Коротко</w:t>
            </w:r>
          </w:p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Блок 6 делает видимыми стыки C-level-ролей. Его задача — убрать рассинхрон между функциями: конфликты KPI / ключевых показателей, разрыв данных, нестыковку обязательств, скрытую политику и падение доверия.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B1F33"/>
        </w:rPr>
        <w:t>1. Паспорт блока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2088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Поле</w:t>
            </w:r>
          </w:p>
        </w:tc>
        <w:tc>
          <w:tcPr>
            <w:tcW w:type="dxa" w:w="8136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Содержание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Место в CLM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После Блока 5. Decision OS / операционная система решений запущена; Блок 6 сшивает роли, показатели, ритмы и доверие.</w:t>
            </w:r>
          </w:p>
        </w:tc>
      </w:tr>
      <w:tr>
        <w:tc>
          <w:tcPr>
            <w:tcW w:type="dxa" w:w="2088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Вход</w:t>
            </w:r>
          </w:p>
        </w:tc>
        <w:tc>
          <w:tcPr>
            <w:tcW w:type="dxa" w:w="8136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Разрывы Блоков 3–5: конфликты ролей, спорные KPI, повторные решения, задержки, падение доверия, перегруженные интерфейсы.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Выход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Карта интерфейсов ролей, карта конфликтов KPI, общие KPI, ритм согласования, контур доверия, план 30 / 60 / 90 и вход в Блок 7.</w:t>
            </w:r>
          </w:p>
        </w:tc>
      </w:tr>
      <w:tr>
        <w:tc>
          <w:tcPr>
            <w:tcW w:type="dxa" w:w="2088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Граница</w:t>
            </w:r>
          </w:p>
        </w:tc>
        <w:tc>
          <w:tcPr>
            <w:tcW w:type="dxa" w:w="8136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Не строить новую систему решений, не заменять Блок 5, не превращать синхронизацию в тренинг переговоров.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XLSX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Старый XLSX имеет 11 листов; при переработке должен быть приведён к принятому XLSX-стандарту CLM с подсказками.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B1F33"/>
        </w:rPr>
        <w:t>2. Что изменено в релизной версии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880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Было</w:t>
            </w:r>
          </w:p>
        </w:tc>
        <w:tc>
          <w:tcPr>
            <w:tcW w:type="dxa" w:w="3168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Решение V2</w:t>
            </w:r>
          </w:p>
        </w:tc>
        <w:tc>
          <w:tcPr>
            <w:tcW w:type="dxa" w:w="4176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Почему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Оркестрация как длинная рамка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Оставить как краткое объяснение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Метафора помогает, но не должна заменять рабочую систему.</w:t>
            </w:r>
          </w:p>
        </w:tc>
      </w:tr>
      <w:tr>
        <w:tc>
          <w:tcPr>
            <w:tcW w:type="dxa" w:w="2880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Глоссарий внутри блока</w:t>
            </w:r>
          </w:p>
        </w:tc>
        <w:tc>
          <w:tcPr>
            <w:tcW w:type="dxa" w:w="3168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Вынести в мастер-глоссарий</w:t>
            </w:r>
          </w:p>
        </w:tc>
        <w:tc>
          <w:tcPr>
            <w:tcW w:type="dxa" w:w="4176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Не раздувать блок справочным хвостом.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Режимные проверки и служебные статусы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Убрать из клиентского текста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Клиенту нужен рабочий маршрут, не история согласования.</w:t>
            </w:r>
          </w:p>
        </w:tc>
      </w:tr>
      <w:tr>
        <w:tc>
          <w:tcPr>
            <w:tcW w:type="dxa" w:w="2880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11 листов XLSX</w:t>
            </w:r>
          </w:p>
        </w:tc>
        <w:tc>
          <w:tcPr>
            <w:tcW w:type="dxa" w:w="3168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Зафиксировать к упрощению</w:t>
            </w:r>
          </w:p>
        </w:tc>
        <w:tc>
          <w:tcPr>
            <w:tcW w:type="dxa" w:w="4176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XLSX должен перейти к стандарту 5-7 листов с помощью заполнения.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Много терминов вокруг доверия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Оставить управленческие сигналы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Доверие в CLM — это выполнение обязательств, качество данных и скорость восстановления.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B1F33"/>
        </w:rPr>
        <w:t>3. Контроль входа из Блоков 3–5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160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Вход</w:t>
            </w:r>
          </w:p>
        </w:tc>
        <w:tc>
          <w:tcPr>
            <w:tcW w:type="dxa" w:w="4896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Что должно быть понятно</w:t>
            </w:r>
          </w:p>
        </w:tc>
        <w:tc>
          <w:tcPr>
            <w:tcW w:type="dxa" w:w="3168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Если входа нет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Из Блока 3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Где C-level-ядро рассинхронизировано: роли, данные, решения, доверие.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Синхронизация будет общей и бесполезной.</w:t>
            </w:r>
          </w:p>
        </w:tc>
      </w:tr>
      <w:tr>
        <w:tc>
          <w:tcPr>
            <w:tcW w:type="dxa" w:w="2160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Из Блока 4</w:t>
            </w:r>
          </w:p>
        </w:tc>
        <w:tc>
          <w:tcPr>
            <w:tcW w:type="dxa" w:w="4896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Какие руководители и мандаты не держат стык ролей.</w:t>
            </w:r>
          </w:p>
        </w:tc>
        <w:tc>
          <w:tcPr>
            <w:tcW w:type="dxa" w:w="3168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Конфликт будет списан на процесс, а не на роль или мандат.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Из Блока 5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Какие решения застревают между ролями и почему.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Непонятно, какой интерфейс чинить.</w:t>
            </w:r>
          </w:p>
        </w:tc>
      </w:tr>
      <w:tr>
        <w:tc>
          <w:tcPr>
            <w:tcW w:type="dxa" w:w="2160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Из Блока 2</w:t>
            </w:r>
          </w:p>
        </w:tc>
        <w:tc>
          <w:tcPr>
            <w:tcW w:type="dxa" w:w="4896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Какие роли и мандаты должны взаимодействовать по архитектуре 23 / 15 / 7.</w:t>
            </w:r>
          </w:p>
        </w:tc>
        <w:tc>
          <w:tcPr>
            <w:tcW w:type="dxa" w:w="3168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Синхронизация потеряет связь с базовой архитектурой CLM.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B1F33"/>
        </w:rPr>
        <w:t>4. Блок-схема работы</w:t>
      </w:r>
    </w:p>
    <w:p>
      <w:r>
        <w:drawing>
          <wp:inline xmlns:a="http://schemas.openxmlformats.org/drawingml/2006/main" xmlns:pic="http://schemas.openxmlformats.org/drawingml/2006/picture">
            <wp:extent cx="6446520" cy="25069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ck06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2506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Calibri" w:hAnsi="Calibri"/>
          <w:color w:val="0B1F33"/>
        </w:rPr>
        <w:t>5. Интерфейсы ролей</w:t>
      </w:r>
    </w:p>
    <w:p>
      <w:pPr>
        <w:spacing w:after="120"/>
      </w:pPr>
      <w:r>
        <w:rPr>
          <w:rFonts w:ascii="Calibri" w:hAnsi="Calibri"/>
          <w:color w:val="111827"/>
          <w:sz w:val="21"/>
        </w:rPr>
        <w:t>Интерфейс ролей — точка, где две или несколько C-level-функций должны обмениваться решениями, данными, KPI / ключевыми показателями, обязательствами и сроками. Если интерфейс не описан, роли действуют по внутренним правилам.</w:t>
      </w:r>
    </w:p>
    <w:p>
      <w:r>
        <w:drawing>
          <wp:inline xmlns:a="http://schemas.openxmlformats.org/drawingml/2006/main" xmlns:pic="http://schemas.openxmlformats.org/drawingml/2006/picture">
            <wp:extent cx="6446520" cy="30441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ck06_interfac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04419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096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Интерфейс</w:t>
            </w:r>
          </w:p>
        </w:tc>
        <w:tc>
          <w:tcPr>
            <w:tcW w:type="dxa" w:w="3671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Что согласуется</w:t>
            </w:r>
          </w:p>
        </w:tc>
        <w:tc>
          <w:tcPr>
            <w:tcW w:type="dxa" w:w="3456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Типичный риск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CEO — CFO — COO</w:t>
            </w:r>
          </w:p>
        </w:tc>
        <w:tc>
          <w:tcPr>
            <w:tcW w:type="dxa" w:w="36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Стратегический выбор, экономика, исполнимость.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Решение принято без финансовой или операционной проверки.</w:t>
            </w:r>
          </w:p>
        </w:tc>
      </w:tr>
      <w:tr>
        <w:tc>
          <w:tcPr>
            <w:tcW w:type="dxa" w:w="3096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CFO — COO — CSO Sales</w:t>
            </w:r>
          </w:p>
        </w:tc>
        <w:tc>
          <w:tcPr>
            <w:tcW w:type="dxa" w:w="3671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Маржа, мощности, обещания клиенту.</w:t>
            </w:r>
          </w:p>
        </w:tc>
        <w:tc>
          <w:tcPr>
            <w:tcW w:type="dxa" w:w="3456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Продажи обещают то, что экономика и операции не выдерживают.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CMO — CPO Product — CAO Analytics</w:t>
            </w:r>
          </w:p>
        </w:tc>
        <w:tc>
          <w:tcPr>
            <w:tcW w:type="dxa" w:w="36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Спрос, продуктовая ценность, данные клиента.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Маркетинг и продукт живут разными версиями клиента.</w:t>
            </w:r>
          </w:p>
        </w:tc>
      </w:tr>
      <w:tr>
        <w:tc>
          <w:tcPr>
            <w:tcW w:type="dxa" w:w="3096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CHRO — CTO — CAIO</w:t>
            </w:r>
          </w:p>
        </w:tc>
        <w:tc>
          <w:tcPr>
            <w:tcW w:type="dxa" w:w="3671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Люди, технологии, AI / ИИ-переход.</w:t>
            </w:r>
          </w:p>
        </w:tc>
        <w:tc>
          <w:tcPr>
            <w:tcW w:type="dxa" w:w="3456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AI / ИИ внедряется без обучения, доверия и изменения ролей.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CIO — CAO Analytics — CFO</w:t>
            </w:r>
          </w:p>
        </w:tc>
        <w:tc>
          <w:tcPr>
            <w:tcW w:type="dxa" w:w="36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Данные, системы, управленческая экономика.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Директора спорят о цифрах вместо решений.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B1F33"/>
        </w:rPr>
        <w:t>6. Конфликт KPI / ключевых показателей</w:t>
      </w:r>
    </w:p>
    <w:p>
      <w:pPr>
        <w:spacing w:after="120"/>
      </w:pPr>
      <w:r>
        <w:rPr>
          <w:rFonts w:ascii="Calibri" w:hAnsi="Calibri"/>
          <w:color w:val="111827"/>
          <w:sz w:val="21"/>
        </w:rPr>
        <w:t>Конфликт KPI в Блоке 6 рассматривается как управленческий разрыв, а не как личная претензия. Роли могут добросовестно оптимизировать свои показатели и одновременно ухудшать общий результат.</w:t>
      </w:r>
    </w:p>
    <w:p>
      <w:r>
        <w:drawing>
          <wp:inline xmlns:a="http://schemas.openxmlformats.org/drawingml/2006/main" xmlns:pic="http://schemas.openxmlformats.org/drawingml/2006/picture">
            <wp:extent cx="6446520" cy="272186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ck06_kp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272186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880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Конфликт</w:t>
            </w:r>
          </w:p>
        </w:tc>
        <w:tc>
          <w:tcPr>
            <w:tcW w:type="dxa" w:w="3816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Что происходит</w:t>
            </w:r>
          </w:p>
        </w:tc>
        <w:tc>
          <w:tcPr>
            <w:tcW w:type="dxa" w:w="3528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Как исправляет Блок 6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Продажи против маржи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CSO Sales наращивает объём, CFO видит падение экономики.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Вводится общий KPI по прибыльной выручке и правила согласования скидок.</w:t>
            </w:r>
          </w:p>
        </w:tc>
      </w:tr>
      <w:tr>
        <w:tc>
          <w:tcPr>
            <w:tcW w:type="dxa" w:w="2880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Операции против продукта</w:t>
            </w:r>
          </w:p>
        </w:tc>
        <w:tc>
          <w:tcPr>
            <w:tcW w:type="dxa" w:w="3816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COO защищает стабильность, CPO Product требует изменений.</w:t>
            </w:r>
          </w:p>
        </w:tc>
        <w:tc>
          <w:tcPr>
            <w:tcW w:type="dxa" w:w="3528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Фиксируется окно изменений, критерии приоритета и владелец компромисса.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Маркетинг против данных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CMO видит спрос, CAO Analytics спорит с качеством источников.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Назначается единая версия данных и ритм проверки гипотез.</w:t>
            </w:r>
          </w:p>
        </w:tc>
      </w:tr>
      <w:tr>
        <w:tc>
          <w:tcPr>
            <w:tcW w:type="dxa" w:w="2880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AI / ИИ против людей</w:t>
            </w:r>
          </w:p>
        </w:tc>
        <w:tc>
          <w:tcPr>
            <w:tcW w:type="dxa" w:w="3816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CAIO / CIO ускоряют внедрение, CHRO видит сопротивление и риск доверия.</w:t>
            </w:r>
          </w:p>
        </w:tc>
        <w:tc>
          <w:tcPr>
            <w:tcW w:type="dxa" w:w="3528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AI / ИИ-переход связывается с обучением, ролями и коммуникацией.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B1F33"/>
        </w:rPr>
        <w:t>7. Ритм согласования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024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Элемент</w:t>
            </w:r>
          </w:p>
        </w:tc>
        <w:tc>
          <w:tcPr>
            <w:tcW w:type="dxa" w:w="4320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Что фиксирует</w:t>
            </w:r>
          </w:p>
        </w:tc>
        <w:tc>
          <w:tcPr>
            <w:tcW w:type="dxa" w:w="2880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Что нельзя делать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Negotiation Pulse / импульс согласования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Регулярный короткий ритм разбора межролевых вопросов.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Превращать в бесконечное совещание.</w:t>
            </w:r>
          </w:p>
        </w:tc>
      </w:tr>
      <w:tr>
        <w:tc>
          <w:tcPr>
            <w:tcW w:type="dxa" w:w="3024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Владелец связки</w:t>
            </w:r>
          </w:p>
        </w:tc>
        <w:tc>
          <w:tcPr>
            <w:tcW w:type="dxa" w:w="4320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Кто отвечает за общий результат на стыке ролей.</w:t>
            </w:r>
          </w:p>
        </w:tc>
        <w:tc>
          <w:tcPr>
            <w:tcW w:type="dxa" w:w="2880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Оставлять общий KPI без владельца.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Правило эскалации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Когда спор поднимается выше и почему.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Использовать эскалацию как политический рычаг.</w:t>
            </w:r>
          </w:p>
        </w:tc>
      </w:tr>
      <w:tr>
        <w:tc>
          <w:tcPr>
            <w:tcW w:type="dxa" w:w="3024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Фиксация обязательств</w:t>
            </w:r>
          </w:p>
        </w:tc>
        <w:tc>
          <w:tcPr>
            <w:tcW w:type="dxa" w:w="4320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Кто что делает, к какому сроку, с каким критерием результата.</w:t>
            </w:r>
          </w:p>
        </w:tc>
        <w:tc>
          <w:tcPr>
            <w:tcW w:type="dxa" w:w="2880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Заканчивать встречу без обязательств.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B1F33"/>
        </w:rPr>
        <w:t>8. Доверие как управленческий контур</w:t>
      </w:r>
    </w:p>
    <w:p>
      <w:pPr>
        <w:spacing w:after="120"/>
      </w:pPr>
      <w:r>
        <w:rPr>
          <w:rFonts w:ascii="Calibri" w:hAnsi="Calibri"/>
          <w:color w:val="111827"/>
          <w:sz w:val="21"/>
        </w:rPr>
        <w:t>Доверие в Блоке 6 не является мягкой атмосферой. Оно связано с тем, выполняются ли обязательства, не искажаются ли данные, насколько быстро конфликт закрывается решением и как часто решения открываются повторно.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880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Сигнал</w:t>
            </w:r>
          </w:p>
        </w:tc>
        <w:tc>
          <w:tcPr>
            <w:tcW w:type="dxa" w:w="3671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Что показывает</w:t>
            </w:r>
          </w:p>
        </w:tc>
        <w:tc>
          <w:tcPr>
            <w:tcW w:type="dxa" w:w="3671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Действие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Обязательства не закрываются</w:t>
            </w:r>
          </w:p>
        </w:tc>
        <w:tc>
          <w:tcPr>
            <w:tcW w:type="dxa" w:w="36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Роли обещают, но не исполняют.</w:t>
            </w:r>
          </w:p>
        </w:tc>
        <w:tc>
          <w:tcPr>
            <w:tcW w:type="dxa" w:w="36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Ввести журнал обязательств и review / разбор.</w:t>
            </w:r>
          </w:p>
        </w:tc>
      </w:tr>
      <w:tr>
        <w:tc>
          <w:tcPr>
            <w:tcW w:type="dxa" w:w="2880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Данные оспариваются</w:t>
            </w:r>
          </w:p>
        </w:tc>
        <w:tc>
          <w:tcPr>
            <w:tcW w:type="dxa" w:w="3671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Нет общего источника фактов.</w:t>
            </w:r>
          </w:p>
        </w:tc>
        <w:tc>
          <w:tcPr>
            <w:tcW w:type="dxa" w:w="3671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Назначить владельца данных и единый источник.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Конфликт уходит в кулуары</w:t>
            </w:r>
          </w:p>
        </w:tc>
        <w:tc>
          <w:tcPr>
            <w:tcW w:type="dxa" w:w="36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Спор не проходит через рабочий ритм.</w:t>
            </w:r>
          </w:p>
        </w:tc>
        <w:tc>
          <w:tcPr>
            <w:tcW w:type="dxa" w:w="367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Вернуть конфликт в Negotiation Pulse / импульс согласования.</w:t>
            </w:r>
          </w:p>
        </w:tc>
      </w:tr>
      <w:tr>
        <w:tc>
          <w:tcPr>
            <w:tcW w:type="dxa" w:w="2880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Решение открывается повторно</w:t>
            </w:r>
          </w:p>
        </w:tc>
        <w:tc>
          <w:tcPr>
            <w:tcW w:type="dxa" w:w="3671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Не было общего критерия или обязательства.</w:t>
            </w:r>
          </w:p>
        </w:tc>
        <w:tc>
          <w:tcPr>
            <w:tcW w:type="dxa" w:w="3671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Уточнить критерии решения и владельца связки.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B1F33"/>
        </w:rPr>
        <w:t>9. Отчёт по Блоку 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951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Получатель</w:t>
            </w:r>
          </w:p>
        </w:tc>
        <w:tc>
          <w:tcPr>
            <w:tcW w:type="dxa" w:w="4608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Что должен увидеть</w:t>
            </w:r>
          </w:p>
        </w:tc>
        <w:tc>
          <w:tcPr>
            <w:tcW w:type="dxa" w:w="2664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Что не включать</w:t>
            </w:r>
          </w:p>
        </w:tc>
      </w:tr>
      <w:tr>
        <w:tc>
          <w:tcPr>
            <w:tcW w:type="dxa" w:w="295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CEO / генеральный директор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Какие связки ролей ломают общий результат и где нужна эскалация.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Все мелкие межфункциональные споры.</w:t>
            </w:r>
          </w:p>
        </w:tc>
      </w:tr>
      <w:tr>
        <w:tc>
          <w:tcPr>
            <w:tcW w:type="dxa" w:w="2951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C-level-команда / первый управленческий круг</w:t>
            </w:r>
          </w:p>
        </w:tc>
        <w:tc>
          <w:tcPr>
            <w:tcW w:type="dxa" w:w="4608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Какие интерфейсы, общие KPI и обязательства нужно согласовать.</w:t>
            </w:r>
          </w:p>
        </w:tc>
        <w:tc>
          <w:tcPr>
            <w:tcW w:type="dxa" w:w="2664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Персональные обвинения.</w:t>
            </w:r>
          </w:p>
        </w:tc>
      </w:tr>
      <w:tr>
        <w:tc>
          <w:tcPr>
            <w:tcW w:type="dxa" w:w="295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Владелец компании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Какие конфликты ролей угрожают скорости, стоимости и управляемости.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Технические детали встреч.</w:t>
            </w:r>
          </w:p>
        </w:tc>
      </w:tr>
      <w:tr>
        <w:tc>
          <w:tcPr>
            <w:tcW w:type="dxa" w:w="2951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Board / совет директоров</w:t>
            </w:r>
          </w:p>
        </w:tc>
        <w:tc>
          <w:tcPr>
            <w:tcW w:type="dxa" w:w="4608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Какие системные риски синхронизации остаются после Decision OS.</w:t>
            </w:r>
          </w:p>
        </w:tc>
        <w:tc>
          <w:tcPr>
            <w:tcW w:type="dxa" w:w="2664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Операционный шум.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B1F33"/>
        </w:rPr>
        <w:t>10. План 30 / 60 / 90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72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Горизонт</w:t>
            </w:r>
          </w:p>
        </w:tc>
        <w:tc>
          <w:tcPr>
            <w:tcW w:type="dxa" w:w="5328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Что сделать</w:t>
            </w:r>
          </w:p>
        </w:tc>
        <w:tc>
          <w:tcPr>
            <w:tcW w:type="dxa" w:w="3024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Выход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30 дней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Выбрать 3–5 критических интерфейсов ролей и описать их решения, KPI, данные и владельцев.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Карта интерфейсов и первичные владельцы связок.</w:t>
            </w:r>
          </w:p>
        </w:tc>
      </w:tr>
      <w:tr>
        <w:tc>
          <w:tcPr>
            <w:tcW w:type="dxa" w:w="1872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60 дней</w:t>
            </w:r>
          </w:p>
        </w:tc>
        <w:tc>
          <w:tcPr>
            <w:tcW w:type="dxa" w:w="5328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Настроить общие KPI, ритм согласования и фиксацию обязательств.</w:t>
            </w:r>
          </w:p>
        </w:tc>
        <w:tc>
          <w:tcPr>
            <w:tcW w:type="dxa" w:w="3024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Связки ролей начинают работать как управляемый контур.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90 дней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Проверить доверие, повторные решения, конфликт данных и устойчивость связок.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Понятно, какие узлы передавать в Блок 7.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B1F33"/>
        </w:rPr>
        <w:t>11. Передача в Блок 7</w:t>
      </w:r>
    </w:p>
    <w:p>
      <w:pPr>
        <w:spacing w:after="120"/>
      </w:pPr>
      <w:r>
        <w:rPr>
          <w:rFonts w:ascii="Calibri" w:hAnsi="Calibri"/>
          <w:color w:val="111827"/>
          <w:sz w:val="21"/>
        </w:rPr>
        <w:t>Блок 6 показывает, какие синхронизационные узлы остаются уязвимыми. Если связка ролей не выдерживает конфликт KPI, задержку решений или падение доверия, это становится входом для Блока 7 — устойчивости C-level-ядра.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4320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Сигнал</w:t>
            </w:r>
          </w:p>
        </w:tc>
        <w:tc>
          <w:tcPr>
            <w:tcW w:type="dxa" w:w="5903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Что передаётся в Блок 7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Связка ролей рушится под нагрузкой</w:t>
            </w:r>
          </w:p>
        </w:tc>
        <w:tc>
          <w:tcPr>
            <w:tcW w:type="dxa" w:w="590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Критическая зависимость и риск отказа контура.</w:t>
            </w:r>
          </w:p>
        </w:tc>
      </w:tr>
      <w:tr>
        <w:tc>
          <w:tcPr>
            <w:tcW w:type="dxa" w:w="4320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Общий KPI не удерживает поведение</w:t>
            </w:r>
          </w:p>
        </w:tc>
        <w:tc>
          <w:tcPr>
            <w:tcW w:type="dxa" w:w="5903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Риск фрагментации результата.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Доверие не восстанавливается после сбоя</w:t>
            </w:r>
          </w:p>
        </w:tc>
        <w:tc>
          <w:tcPr>
            <w:tcW w:type="dxa" w:w="590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Риск повторных конфликтов и скрытого сопротивления.</w:t>
            </w:r>
          </w:p>
        </w:tc>
      </w:tr>
      <w:tr>
        <w:tc>
          <w:tcPr>
            <w:tcW w:type="dxa" w:w="4320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Решения снова открываются</w:t>
            </w:r>
          </w:p>
        </w:tc>
        <w:tc>
          <w:tcPr>
            <w:tcW w:type="dxa" w:w="5903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Риск слабой управленческой памяти и исполнения.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B1F33"/>
        </w:rPr>
        <w:t>12. Контроль готовности выхода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8208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Контроль перед передачей дальше</w:t>
            </w:r>
          </w:p>
        </w:tc>
        <w:tc>
          <w:tcPr>
            <w:tcW w:type="dxa" w:w="1872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Да / нет</w:t>
            </w:r>
          </w:p>
        </w:tc>
      </w:tr>
      <w:tr>
        <w:tc>
          <w:tcPr>
            <w:tcW w:type="dxa" w:w="82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Определены критические интерфейсы ролей.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8208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По каждому интерфейсу описаны решения, данные, KPI и обязательства.</w:t>
            </w:r>
          </w:p>
        </w:tc>
        <w:tc>
          <w:tcPr>
            <w:tcW w:type="dxa" w:w="1872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82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Конфликты KPI переведены в общие KPI или правила компромисса.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8208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Назначены владельцы связок.</w:t>
            </w:r>
          </w:p>
        </w:tc>
        <w:tc>
          <w:tcPr>
            <w:tcW w:type="dxa" w:w="1872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82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Настроен ритм согласования и фиксации обязательств.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8208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Понятно, какие связки остаются уязвимыми и идут в Блок 7.</w:t>
            </w:r>
          </w:p>
        </w:tc>
        <w:tc>
          <w:tcPr>
            <w:tcW w:type="dxa" w:w="1872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B1F33"/>
        </w:rPr>
        <w:t>13. Границы Блока 6</w:t>
      </w:r>
    </w:p>
    <w:p>
      <w:pPr>
        <w:pStyle w:val="ListBullet"/>
        <w:spacing w:after="60"/>
      </w:pPr>
      <w:r>
        <w:rPr>
          <w:rFonts w:ascii="Calibri" w:hAnsi="Calibri"/>
          <w:color w:val="111827"/>
          <w:sz w:val="20"/>
        </w:rPr>
        <w:t>Не заменяет Decision OS / операционную систему решений Блока 5.</w:t>
      </w:r>
    </w:p>
    <w:p>
      <w:pPr>
        <w:pStyle w:val="ListBullet"/>
        <w:spacing w:after="60"/>
      </w:pPr>
      <w:r>
        <w:rPr>
          <w:rFonts w:ascii="Calibri" w:hAnsi="Calibri"/>
          <w:color w:val="111827"/>
          <w:sz w:val="20"/>
        </w:rPr>
        <w:t>Не является тренингом переговоров.</w:t>
      </w:r>
    </w:p>
    <w:p>
      <w:pPr>
        <w:pStyle w:val="ListBullet"/>
        <w:spacing w:after="60"/>
      </w:pPr>
      <w:r>
        <w:rPr>
          <w:rFonts w:ascii="Calibri" w:hAnsi="Calibri"/>
          <w:color w:val="111827"/>
          <w:sz w:val="20"/>
        </w:rPr>
        <w:t>Не сглаживает конфликт ради комфорта; он переводит конфликт в управляемое решение.</w:t>
      </w:r>
    </w:p>
    <w:p>
      <w:pPr>
        <w:pStyle w:val="ListBullet"/>
        <w:spacing w:after="60"/>
      </w:pPr>
      <w:r>
        <w:rPr>
          <w:rFonts w:ascii="Calibri" w:hAnsi="Calibri"/>
          <w:color w:val="111827"/>
          <w:sz w:val="20"/>
        </w:rPr>
        <w:t>Не строит полную панель метрик Блока 10.</w:t>
      </w:r>
    </w:p>
    <w:p>
      <w:pPr>
        <w:pStyle w:val="ListBullet"/>
        <w:spacing w:after="60"/>
      </w:pPr>
      <w:r>
        <w:rPr>
          <w:rFonts w:ascii="Calibri" w:hAnsi="Calibri"/>
          <w:color w:val="111827"/>
          <w:sz w:val="20"/>
        </w:rPr>
        <w:t>Не дублирует FAQ и глоссарий.</w:t>
      </w:r>
    </w:p>
    <w:p>
      <w:pPr>
        <w:pStyle w:val="Heading1"/>
      </w:pPr>
      <w:r>
        <w:rPr>
          <w:rFonts w:ascii="Calibri" w:hAnsi="Calibri"/>
          <w:color w:val="0B1F33"/>
        </w:rPr>
        <w:t>14. Вывод блока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10166"/>
      </w:tblGrid>
      <w:tr>
        <w:tc>
          <w:tcPr>
            <w:tcW w:type="dxa" w:w="10166"/>
            <w:shd w:fill="E7F4EF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0F766E"/>
                <w:sz w:val="20"/>
              </w:rPr>
              <w:t>Формула Блока 6</w:t>
            </w:r>
          </w:p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C-level становится управленческим оркестром не тогда, когда в компании есть сильные директора, а тогда, когда их роли действуют согласованно на стыках решений, данных, KPI / ключевых показателей и обязательств.</w:t>
            </w:r>
          </w:p>
        </w:tc>
      </w:tr>
    </w:tbl>
    <w:p/>
    <w:sectPr w:rsidR="00FC693F" w:rsidRPr="0006063C" w:rsidSect="00034616">
      <w:footerReference w:type="default" r:id="rId9"/>
      <w:headerReference w:type="default" r:id="rId13"/>
      <w:pgSz w:w="12240" w:h="15840"/>
      <w:pgMar w:top="1037" w:right="1037" w:bottom="1037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</w:rPr>
      <w:t>Технологическая основа: CLM / C-Level Management / управление C-level-ядром.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 w:eastAsia="Arial"/>
      </w:rPr>
      <w:t>Управление Директорами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B1F3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B46A3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B1F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Директорами — CLM_BLOCK_06_FULL_TEXT_RELEASE_V2</dc:title>
  <dc:subject>Технологическая основа: CLM / C-Level Management / управление C-level-ядром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