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7A8C"/>
          <w:sz w:val="20"/>
        </w:rPr>
        <w:t>Управление Директорами</w:t>
      </w:r>
    </w:p>
    <w:p>
      <w:r>
        <w:rPr>
          <w:rFonts w:ascii="Arial" w:hAnsi="Arial" w:eastAsia="Arial"/>
          <w:color w:val="4A5568"/>
          <w:sz w:val="18"/>
        </w:rPr>
        <w:t>Технологическая основа: CLM / C-Level Management / управление C-level-ядром.</w:t>
      </w:r>
    </w:p>
    <w:p>
      <w:pPr>
        <w:pStyle w:val="Title"/>
        <w:jc w:val="left"/>
      </w:pPr>
      <w:r>
        <w:t>Управление Директорами. Сессия</w:t>
      </w:r>
    </w:p>
    <w:p>
      <w:r>
        <w:rPr>
          <w:color w:val="4A5568"/>
          <w:sz w:val="24"/>
        </w:rPr>
        <w:t>Перевести выводы диагностики в ограниченный активный набор управленческих решений и паспорт Спринта.</w:t>
      </w:r>
    </w:p>
    <w:p>
      <w:r>
        <w:rPr>
          <w:rFonts w:ascii="Arial" w:hAnsi="Arial" w:eastAsia="Arial"/>
        </w:rPr>
        <w:t>Документ внутренний рабочий. Версия v1.</w:t>
      </w:r>
    </w:p>
    <w:p>
      <w:pPr>
        <w:pStyle w:val="Heading1"/>
      </w:pPr>
      <w:r>
        <w:t>1. Назначение продукта</w:t>
      </w:r>
    </w:p>
    <w:p>
      <w:r>
        <w:t>Сессия не является обсуждением всего найденного. Ее задача - выбрать, что реально делать дальше, кто владелец, какой эффект нужен и какой Спринт запускается.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Borders>
              <w:top w:val="single" w:sz="6" w:space="0" w:color="B7D9D2"/>
              <w:left w:val="single" w:sz="6" w:space="0" w:color="B7D9D2"/>
              <w:bottom w:val="single" w:sz="6" w:space="0" w:color="B7D9D2"/>
              <w:right w:val="single" w:sz="6" w:space="0" w:color="B7D9D2"/>
            </w:tcBorders>
          </w:tcPr>
          <w:p>
            <w:r/>
            <w:r>
              <w:rPr>
                <w:b/>
                <w:color w:val="16324F"/>
                <w:sz w:val="20"/>
              </w:rPr>
              <w:t>Рабочий принцип</w:t>
            </w:r>
          </w:p>
          <w:p>
            <w:r>
              <w:rPr>
                <w:sz w:val="18"/>
              </w:rPr>
              <w:t>Этот документ предназначен для внутренней работы консультанта. Цены не указываются: коммерческая сетка живет в отдельном файле с ценами и упаковкой.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583680" cy="2282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ssion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28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Вход и выход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4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Элемент</w:t>
            </w:r>
          </w:p>
        </w:tc>
        <w:tc>
          <w:tcPr>
            <w:tcW w:type="dxa" w:w="763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Вход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Вердикт диагностики GO / запускать или GO при условиях, подтвержденный владельцем запроса.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Выход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Паспорт Спринта: активный набор решений, владельцы, условия запуска, условия остановки, ожидаемый результат.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Ключевые блоки CLM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2-6 обязательно по смыслу; 7-10 как проверка рисков, AI / ИИ, панели и измеримости; 11 как проектирование Спринта.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Главный риск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Главный риск - уйти в стратегическую сессию без обязательств, сроков, владельцев и критерия результата.</w:t>
            </w:r>
          </w:p>
        </w:tc>
      </w:tr>
    </w:tbl>
    <w:p>
      <w:pPr>
        <w:pStyle w:val="Heading1"/>
      </w:pPr>
      <w:r>
        <w:t>3. Рабочая последовательность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6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Шаг</w:t>
            </w:r>
          </w:p>
        </w:tc>
        <w:tc>
          <w:tcPr>
            <w:tcW w:type="dxa" w:w="2304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Действие</w:t>
            </w:r>
          </w:p>
        </w:tc>
        <w:tc>
          <w:tcPr>
            <w:tcW w:type="dxa" w:w="4464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Зачем</w:t>
            </w:r>
          </w:p>
        </w:tc>
        <w:tc>
          <w:tcPr>
            <w:tcW w:type="dxa" w:w="24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Артефакт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Взять только подтвержденные разрывы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открывать заново весь объем диагностики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Сводка диагностики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Собрать активный набор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Оставить только решения с владельцем и эффектом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Матрица активного набора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Назначить владельцев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Развести владельца эффекта, решения, данных, риска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Матрица владельцев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Оформить Спринт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Превратить решения в реализуемый проект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Паспорт Спринта</w:t>
            </w:r>
          </w:p>
        </w:tc>
      </w:tr>
    </w:tbl>
    <w:p>
      <w:pPr>
        <w:pStyle w:val="Heading1"/>
      </w:pPr>
      <w:r>
        <w:t>4. Что заполняется в XLSX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16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Лист</w:t>
            </w:r>
          </w:p>
        </w:tc>
        <w:tc>
          <w:tcPr>
            <w:tcW w:type="dxa" w:w="691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00 Индекс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01 Активный набор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02 Решения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03 Владельцы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04 Паспорт спринта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</w:tbl>
    <w:p>
      <w:pPr>
        <w:pStyle w:val="Heading1"/>
      </w:pPr>
      <w:r>
        <w:t>5. Стоп-факторы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60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Стоп-фактор</w:t>
            </w:r>
          </w:p>
        </w:tc>
        <w:tc>
          <w:tcPr>
            <w:tcW w:type="dxa" w:w="648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Что делать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владельца запроса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Остановить работу до назначения владельца.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права на честный вывод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начинать продукт, потому что результат будет политически безопасным, но бесполезным.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фактов, только мнения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Снизить уровень вывода до гипотезы и запросить подтверждение.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Клиент требует пропустить обязательный шаг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Зафиксировать риск и не продавать следующий продукт как полноценный.</w:t>
            </w:r>
          </w:p>
        </w:tc>
      </w:tr>
    </w:tbl>
    <w:p>
      <w:pPr>
        <w:pStyle w:val="Heading1"/>
      </w:pPr>
      <w:r>
        <w:t>6. Проверка перед закрытием продукта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60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547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Ответ должен быть виден в документах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Какой управленческий разрыв был решен или проверен?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есть конкретная формулировка.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Кто владелец следующего действия?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указан человек или роль, а не абстрактная функция.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Какой документ является итогом?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итоговый артефакт создан и связан с XLSX.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Можно ли показать клиенту пользу без объяснения всей CLM?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результат понятен на языке бизнеса.</w:t>
            </w:r>
          </w:p>
        </w:tc>
      </w:tr>
    </w:tbl>
    <w:sectPr w:rsidR="00FC693F" w:rsidRPr="0006063C" w:rsidSect="00034616">
      <w:headerReference w:type="default" r:id="rId10"/>
      <w:footerReference w:type="default" r:id="rId11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</w:rPr>
      <w:t>Технологическая основа: CLM / C-Level Management / управление C-level-ядром.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Arial"/>
      </w:rPr>
      <w:t>Управление Директорами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7A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Директорами — UD_PRODUCT_02_SESSION_INTERNAL_WORK_PROTOCOL_V1</dc:title>
  <dc:subject>Технологическая основа: CLM / C-Level Management / управление C-level-ядром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