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7A8C"/>
          <w:sz w:val="20"/>
        </w:rPr>
        <w:t>Управление Директорами</w:t>
      </w:r>
    </w:p>
    <w:p>
      <w:pPr>
        <w:pStyle w:val="Title"/>
      </w:pPr>
      <w:r>
        <w:t>Каталог папки: 20 Сессия</w:t>
      </w:r>
    </w:p>
    <w:p>
      <w:r>
        <w:t>Технологическая основа: CLM / C-Level Management / управление C-level-ядром. Дата обновления каталога: 2026-07-21.</w:t>
      </w:r>
    </w:p>
    <w:p>
      <w:pPr>
        <w:pStyle w:val="Heading1"/>
      </w:pPr>
      <w:r>
        <w:t>Назначение папки</w:t>
      </w:r>
    </w:p>
    <w:p>
      <w:r>
        <w:t>Документы и рабочие книги этапа Сессия.</w:t>
      </w:r>
    </w:p>
    <w:p>
      <w:pPr>
        <w:pStyle w:val="Heading1"/>
      </w:pPr>
      <w:r>
        <w:t>Состав папки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Файл / папка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Управление_Директорами_CLM_Блок_05_Decision_OS_система_решений_V2.docx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Управление_Директорами_CLM_Блок_05_Рабочая_книга_системы_решений_LIGHT_V1.xlsx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Управление_Директорами_CLM_Блок_06_Рабочая_книга_синхронизации_LIGHT_V1.xlsx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Управление_Директорами_CLM_Блок_06_Синхронизация_C_level_ядра_V2.docx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Управление_Директорами_CLM_Продукт_02_Сессия_внутренний_протокол_V1.docx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Рабочий документ или рабочая книга продуктового этапа.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Управление_Директорами_CLM_Продукт_02_Сессия_рабочая_книга_V1.xlsx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Рабочий документ или рабочая книга продуктового этапа.</w:t>
            </w:r>
          </w:p>
        </w:tc>
      </w:tr>
    </w:tbl>
    <w:p>
      <w:pPr>
        <w:pStyle w:val="Heading1"/>
      </w:pPr>
      <w:r>
        <w:t>Правило папки</w:t>
      </w:r>
    </w:p>
    <w:p>
      <w:r>
        <w:t>Файлы, которые не соответствуют назначению папки, должны переноситься в 99 Архив или в профильную рабочую папку проекта.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324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6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