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</w:rPr>
        <w:t>Управление Директорами. Блок 11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after="160"/>
      </w:pPr>
      <w:r>
        <w:rPr>
          <w:rFonts w:ascii="Calibri" w:hAnsi="Calibri"/>
          <w:color w:val="475569"/>
          <w:sz w:val="22"/>
        </w:rPr>
        <w:t>Как перевести выводы Блоков 3-10 в ограниченную программу перенастройки C-level-ядра.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F3EBDD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B46A3C"/>
                <w:sz w:val="20"/>
              </w:rPr>
              <w:t>Коротко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Блок 11 не создаёт список пожеланий. В дорожную карту попадает только действие с источником CLM, причиной, владельцем, горизонтом, метрикой и артефактом закрепления.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1. Паспорт блока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92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Содержание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Место в CLM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После Блока 10: панель показала критические сигналы и владельцев реакции.</w:t>
            </w:r>
          </w:p>
        </w:tc>
      </w:tr>
      <w:tr>
        <w:tc>
          <w:tcPr>
            <w:tcW w:type="dxa" w:w="230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Назначение</w:t>
            </w:r>
          </w:p>
        </w:tc>
        <w:tc>
          <w:tcPr>
            <w:tcW w:type="dxa" w:w="79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Перевести диагностику и сигналы в программу перенастройки C-level-ядра.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Вход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Выводы Блоков 3-10, критические сигналы панели, причины и владельцы реакции.</w:t>
            </w:r>
          </w:p>
        </w:tc>
      </w:tr>
      <w:tr>
        <w:tc>
          <w:tcPr>
            <w:tcW w:type="dxa" w:w="2304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Выход</w:t>
            </w:r>
          </w:p>
        </w:tc>
        <w:tc>
          <w:tcPr>
            <w:tcW w:type="dxa" w:w="79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Дорожная карта 30 / 60 / 90, следующий горизонт 180 / 360 и список артефактов для Блока 12.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KPI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 каждого действия есть источник CLM, владелец, срок, метрика результата и артефакт закрепления.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2. Что изменено в релизной версии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11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Было</w:t>
            </w:r>
          </w:p>
        </w:tc>
        <w:tc>
          <w:tcPr>
            <w:tcW w:type="dxa" w:w="345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Стало</w:t>
            </w:r>
          </w:p>
        </w:tc>
        <w:tc>
          <w:tcPr>
            <w:tcW w:type="dxa" w:w="3456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Почему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Много таблиц, протоколов и примеров.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Одна воронка дорожной карты и компактный пример строки.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Так блок можно применять без методологической перегрузки.</w:t>
            </w:r>
          </w:p>
        </w:tc>
      </w:tr>
      <w:tr>
        <w:tc>
          <w:tcPr>
            <w:tcW w:type="dxa" w:w="331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Риск превратить roadmap / дорожную карту в список всех инициатив.</w:t>
            </w:r>
          </w:p>
        </w:tc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Введено правило: нет источника CLM — нет действия.</w:t>
            </w:r>
          </w:p>
        </w:tc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Защита от воды и пожеланий.</w:t>
            </w:r>
          </w:p>
        </w:tc>
      </w:tr>
      <w:tr>
        <w:tc>
          <w:tcPr>
            <w:tcW w:type="dxa" w:w="33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Смешение дорожной карты и стратегического плана.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180 / 360 оставлены только для системных изменений.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CLM чинит управляемость, а не заменяет стратегию компании.</w:t>
            </w:r>
          </w:p>
        </w:tc>
      </w:tr>
      <w:tr>
        <w:tc>
          <w:tcPr>
            <w:tcW w:type="dxa" w:w="3311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FAQ, глоссарий и служебные статусы внутри блока.</w:t>
            </w:r>
          </w:p>
        </w:tc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Удалены из блока, остаются в мастер-файлах CLM.</w:t>
            </w:r>
          </w:p>
        </w:tc>
        <w:tc>
          <w:tcPr>
            <w:tcW w:type="dxa" w:w="3456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 раздуваем документ.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3. Контроль входа из Блоков 3-10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5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820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может стать действием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3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Исправление состава C-level-ядра, ролей и общей управляемости.</w:t>
            </w:r>
          </w:p>
        </w:tc>
      </w:tr>
      <w:tr>
        <w:tc>
          <w:tcPr>
            <w:tcW w:type="dxa" w:w="2015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4</w:t>
            </w:r>
          </w:p>
        </w:tc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Развитие, замена, перераспределение мандата или ограничение риска руководителя.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5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Исправление пути решений, владельцев, критериев, данных и разбора результата.</w:t>
            </w:r>
          </w:p>
        </w:tc>
      </w:tr>
      <w:tr>
        <w:tc>
          <w:tcPr>
            <w:tcW w:type="dxa" w:w="2015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6</w:t>
            </w:r>
          </w:p>
        </w:tc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Настройка интерфейсов ролей, KPI, доверия и ритма синхронизации.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7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Усиление резервов, восстановительного контура и кризисного ритма.</w:t>
            </w:r>
          </w:p>
        </w:tc>
      </w:tr>
      <w:tr>
        <w:tc>
          <w:tcPr>
            <w:tcW w:type="dxa" w:w="2015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8</w:t>
            </w:r>
          </w:p>
        </w:tc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Снижение ручного лидерского режима и закрепление мандатов.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9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Допуск, остановка или масштабирование AI / ИИ-сценариев.</w:t>
            </w:r>
          </w:p>
        </w:tc>
      </w:tr>
      <w:tr>
        <w:tc>
          <w:tcPr>
            <w:tcW w:type="dxa" w:w="2015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 10</w:t>
            </w:r>
          </w:p>
        </w:tc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Критические сигналы панели и владельцы реакции.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4. Воронка дорожной карты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46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11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465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color w:val="0B1F33"/>
        </w:rPr>
        <w:t>5. Контуры перенастройки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Контур</w:t>
            </w:r>
          </w:p>
        </w:tc>
        <w:tc>
          <w:tcPr>
            <w:tcW w:type="dxa" w:w="7343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чинит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Роли и мандаты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Неясные права решений, дубли ответственности, слабые владельцы.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Decision OS / система решений</w:t>
            </w:r>
          </w:p>
        </w:tc>
        <w:tc>
          <w:tcPr>
            <w:tcW w:type="dxa" w:w="734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Зависание решений, возврат наверх, слабый разбор результата.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Данные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Нет единой версии фактов, плохое качество или слабый владелец данных.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Синхронизация</w:t>
            </w:r>
          </w:p>
        </w:tc>
        <w:tc>
          <w:tcPr>
            <w:tcW w:type="dxa" w:w="734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Конфликт KPI, слабые интерфейсы, потеря доверия.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Устойчивость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Нет резервов, слабый Recovery Loop / контур восстановления, кризисный сбой.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Лидерский переход</w:t>
            </w:r>
          </w:p>
        </w:tc>
        <w:tc>
          <w:tcPr>
            <w:tcW w:type="dxa" w:w="734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Ручной режим, героизм, слабое делегирование мандатов.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AI / ИИ-контур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Сценарии без владельца, контроля, данных или экономики.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6. Матрица приоритетов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855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11_prior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855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color w:val="0B1F33"/>
        </w:rPr>
        <w:t>7. Валидная строка дорожной карты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343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Минимальная норма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Источник CLM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Блок, сигнал или вывод, из которого возникло действие.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Причина</w:t>
            </w:r>
          </w:p>
        </w:tc>
        <w:tc>
          <w:tcPr>
            <w:tcW w:type="dxa" w:w="734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Что именно ломает управляемость.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Действие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Конкретная перенастройка, а не общая формулировка.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</w:t>
            </w:r>
          </w:p>
        </w:tc>
        <w:tc>
          <w:tcPr>
            <w:tcW w:type="dxa" w:w="734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Роль или человек, отвечающий за результат.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Горизонт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30 / 60 / 90 или 180 / 360 для системного изменения.</w:t>
            </w:r>
          </w:p>
        </w:tc>
      </w:tr>
      <w:tr>
        <w:tc>
          <w:tcPr>
            <w:tcW w:type="dxa" w:w="288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Метрика результата</w:t>
            </w:r>
          </w:p>
        </w:tc>
        <w:tc>
          <w:tcPr>
            <w:tcW w:type="dxa" w:w="734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Как понять, что действие сработало.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Артефакт</w:t>
            </w:r>
          </w:p>
        </w:tc>
        <w:tc>
          <w:tcPr>
            <w:tcW w:type="dxa" w:w="73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Что нужно закрепить в Блоке 12.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8. Горизонты 30 / 60 / 90 и дальше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0553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11_horiz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553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color w:val="0B1F33"/>
        </w:rPr>
        <w:t>9. Пример строки Roadmap / дорожной карты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72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Источник</w:t>
            </w:r>
          </w:p>
        </w:tc>
        <w:tc>
          <w:tcPr>
            <w:tcW w:type="dxa" w:w="216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Причина</w:t>
            </w:r>
          </w:p>
        </w:tc>
        <w:tc>
          <w:tcPr>
            <w:tcW w:type="dxa" w:w="244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Действие</w:t>
            </w:r>
          </w:p>
        </w:tc>
        <w:tc>
          <w:tcPr>
            <w:tcW w:type="dxa" w:w="144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Владелец</w:t>
            </w:r>
          </w:p>
        </w:tc>
        <w:tc>
          <w:tcPr>
            <w:tcW w:type="dxa" w:w="115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Горизонт</w:t>
            </w:r>
          </w:p>
        </w:tc>
        <w:tc>
          <w:tcPr>
            <w:tcW w:type="dxa" w:w="144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Метрика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Блок 5 + Блок 10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Решения по продукту возвращаются к CEO.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Назначить владельца решения, критерии и ритм разбора.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CEO + CPO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30 дней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Доля решений без возврата наверх.</w:t>
            </w:r>
          </w:p>
        </w:tc>
      </w:tr>
      <w:tr>
        <w:tc>
          <w:tcPr>
            <w:tcW w:type="dxa" w:w="172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Блок 6</w:t>
            </w:r>
          </w:p>
        </w:tc>
        <w:tc>
          <w:tcPr>
            <w:tcW w:type="dxa" w:w="216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KPI продаж и операций конфликтуют.</w:t>
            </w:r>
          </w:p>
        </w:tc>
        <w:tc>
          <w:tcPr>
            <w:tcW w:type="dxa" w:w="244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Собрать общий KPI и правило эскалации.</w:t>
            </w:r>
          </w:p>
        </w:tc>
        <w:tc>
          <w:tcPr>
            <w:tcW w:type="dxa" w:w="144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COO + CRO</w:t>
            </w:r>
          </w:p>
        </w:tc>
        <w:tc>
          <w:tcPr>
            <w:tcW w:type="dxa" w:w="115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60 дней</w:t>
            </w:r>
          </w:p>
        </w:tc>
        <w:tc>
          <w:tcPr>
            <w:tcW w:type="dxa" w:w="144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Снижение конфликтных эскалаций.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Блок 9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AI / ИИ-сценарий без владельца риска.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Назначить владельца, контроль и резервный маршрут.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CIO + владелец сценария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30 дней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4"/>
              </w:rPr>
              <w:t>Статус допуска GO / запускать.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10. Передача в Блок 12</w:t>
      </w:r>
    </w:p>
    <w:p>
      <w:pPr>
        <w:spacing w:after="120"/>
      </w:pPr>
      <w:r>
        <w:rPr>
          <w:rFonts w:ascii="Calibri" w:hAnsi="Calibri"/>
          <w:color w:val="111827"/>
          <w:sz w:val="21"/>
        </w:rPr>
        <w:t>Блок 11 передаёт в Блок 12 только те изменения, которые нужно закрепить рабочими артефактами: матрицами, правилами, шаблонами, протоколами, карточками ролей или формами решений.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передаётся</w:t>
            </w:r>
          </w:p>
        </w:tc>
        <w:tc>
          <w:tcPr>
            <w:tcW w:type="dxa" w:w="5903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Артефакт Блока 12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Новый или изменённый мандат.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Карточка роли и мандата.</w:t>
            </w:r>
          </w:p>
        </w:tc>
      </w:tr>
      <w:tr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Новый путь решения.</w:t>
            </w:r>
          </w:p>
        </w:tc>
        <w:tc>
          <w:tcPr>
            <w:tcW w:type="dxa" w:w="590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Шаблон решения, критерии, протокол разбора.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Новый ритм синхронизации.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Регламент встречи, список вопросов, журнал решений.</w:t>
            </w:r>
          </w:p>
        </w:tc>
      </w:tr>
      <w:tr>
        <w:tc>
          <w:tcPr>
            <w:tcW w:type="dxa" w:w="4320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Новый AI / ИИ-сценарий.</w:t>
            </w:r>
          </w:p>
        </w:tc>
        <w:tc>
          <w:tcPr>
            <w:tcW w:type="dxa" w:w="5903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Паспорт сценария, правила контроля, резервный маршрут.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11. Контроль готовности выхода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8208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Контроль перед передачей дальше</w:t>
            </w:r>
          </w:p>
        </w:tc>
        <w:tc>
          <w:tcPr>
            <w:tcW w:type="dxa" w:w="1872"/>
            <w:shd w:fill="0B1F3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Да / нет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Все действия имеют источник CLM.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 каждого действия есть причина, владелец, горизонт и метрика.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Дорожная карта ограничена приоритетами, а не всеми пожеланиями.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8208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Список артефактов для Блока 12 сформирован.</w:t>
            </w:r>
          </w:p>
        </w:tc>
        <w:tc>
          <w:tcPr>
            <w:tcW w:type="dxa" w:w="1872"/>
            <w:vAlign w:val="center"/>
            <w:shd w:fill="FBFAF7"/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1F33"/>
        </w:rPr>
        <w:t>12. Границы Блока 11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заменяет стратегический план компании.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является общим проектным офисом и не собирает все инициативы.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создаёт действие без источника CLM.</w:t>
      </w:r>
    </w:p>
    <w:p>
      <w:pPr>
        <w:pStyle w:val="ListBullet"/>
        <w:spacing w:after="60"/>
      </w:pPr>
      <w:r>
        <w:rPr>
          <w:rFonts w:ascii="Calibri" w:hAnsi="Calibri"/>
          <w:color w:val="111827"/>
          <w:sz w:val="20"/>
        </w:rPr>
        <w:t>Не возвращает FAQ и глоссарий внутрь блока.</w:t>
      </w:r>
    </w:p>
    <w:p>
      <w:pPr>
        <w:spacing w:before="160" w:after="80"/>
      </w:pPr>
      <w:r>
        <w:rPr>
          <w:rFonts w:ascii="Calibri" w:hAnsi="Calibri"/>
          <w:b/>
          <w:color w:val="0B1F33"/>
          <w:sz w:val="25"/>
        </w:rPr>
        <w:t>13. Вывод блока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E7F4EF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F766E"/>
                <w:sz w:val="20"/>
              </w:rPr>
              <w:t>Формула Блока 11</w:t>
            </w:r>
          </w:p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Дорожная карта CLM переводит диагностику в программу управленческого изменения: источник, причина, действие, владелец, срок, метрика, артефакт.</w:t>
            </w:r>
          </w:p>
        </w:tc>
      </w:tr>
    </w:tbl>
    <w:sectPr w:rsidR="00FC693F" w:rsidRPr="0006063C" w:rsidSect="00034616">
      <w:footerReference w:type="default" r:id="rId9"/>
      <w:headerReference w:type="default" r:id="rId13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CLM_BLOCK_11_FULL_TEXT_RELEASE_V2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