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7A8C"/>
          <w:sz w:val="20"/>
        </w:rPr>
        <w:t>Управление Директорами</w:t>
      </w:r>
    </w:p>
    <w:p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>
      <w:pPr>
        <w:pStyle w:val="Title"/>
        <w:jc w:val="left"/>
      </w:pPr>
      <w:r>
        <w:t>Управление Директорами. Спринт</w:t>
      </w:r>
    </w:p>
    <w:p>
      <w:r>
        <w:rPr>
          <w:color w:val="4A5568"/>
          <w:sz w:val="24"/>
        </w:rPr>
        <w:t>Довести выбранное решение до реализованного управленческого проекта, а не до презентации намерений.</w:t>
      </w:r>
    </w:p>
    <w:p>
      <w:r>
        <w:rPr>
          <w:rFonts w:ascii="Arial" w:hAnsi="Arial" w:eastAsia="Arial"/>
        </w:rPr>
        <w:t>Документ внутренний рабочий. Версия v1.</w:t>
      </w:r>
    </w:p>
    <w:p>
      <w:pPr>
        <w:pStyle w:val="Heading1"/>
      </w:pPr>
      <w:r>
        <w:t>1. Назначение продукта</w:t>
      </w:r>
    </w:p>
    <w:p>
      <w:r>
        <w:t>Спринт берет один или несколько приоритетов из Сессии и превращает их в работающие правила, артефакты, ритмы, решения и контроль.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Borders>
              <w:top w:val="single" w:sz="6" w:space="0" w:color="B7D9D2"/>
              <w:left w:val="single" w:sz="6" w:space="0" w:color="B7D9D2"/>
              <w:bottom w:val="single" w:sz="6" w:space="0" w:color="B7D9D2"/>
              <w:right w:val="single" w:sz="6" w:space="0" w:color="B7D9D2"/>
            </w:tcBorders>
          </w:tcPr>
          <w:p>
            <w:r/>
            <w:r>
              <w:rPr>
                <w:b/>
                <w:color w:val="16324F"/>
                <w:sz w:val="20"/>
              </w:rPr>
              <w:t>Рабочий принцип</w:t>
            </w:r>
          </w:p>
          <w:p>
            <w:r>
              <w:rPr>
                <w:sz w:val="18"/>
              </w:rPr>
              <w:t>Этот документ предназначен для внутренней работы консультанта. Цены не указываются: коммерческая сетка живет в отдельном файле с ценами и упаковкой.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583680" cy="2282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28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Вход и выход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4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Элемент</w:t>
            </w:r>
          </w:p>
        </w:tc>
        <w:tc>
          <w:tcPr>
            <w:tcW w:type="dxa" w:w="763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Вход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Паспорт Спринта, утвержденный владелец эффекта, владелец решения, владелец данных и допустимые границы изменения.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Выход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Реализованный проект: принятое решение, внедренный артефакт, новый ритм, обновленная панель или дорожная карта.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Ключевые блоки CLM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5-12 применяются как рабочие инструменты; 3-4 возвращаются только если вскрывается новый разрыв роли или руководителя.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Главный риск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Главный риск - подменить реализацию планом действий или отчетом о встречах.</w:t>
            </w:r>
          </w:p>
        </w:tc>
      </w:tr>
    </w:tbl>
    <w:p>
      <w:pPr>
        <w:pStyle w:val="Heading1"/>
      </w:pPr>
      <w:r>
        <w:t>3. Рабочая последовательность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6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Шаг</w:t>
            </w:r>
          </w:p>
        </w:tc>
        <w:tc>
          <w:tcPr>
            <w:tcW w:type="dxa" w:w="2304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Действие</w:t>
            </w:r>
          </w:p>
        </w:tc>
        <w:tc>
          <w:tcPr>
            <w:tcW w:type="dxa" w:w="4464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Зачем</w:t>
            </w:r>
          </w:p>
        </w:tc>
        <w:tc>
          <w:tcPr>
            <w:tcW w:type="dxa" w:w="24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Артефакт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Подтвердить паспорт Спринта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Проверить владельцев, сроки, границы и критерий результата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Стартовый контроль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Вести план действий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Фиксировать только действия, которые двигают решение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План действий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Управлять отклонениями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скрывать сбои, а переводить их в решения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Журнал отклонений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Закрыть реализацию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Показать внедренный результат, а не намерение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Итоговый отчет</w:t>
            </w:r>
          </w:p>
        </w:tc>
      </w:tr>
    </w:tbl>
    <w:p>
      <w:pPr>
        <w:pStyle w:val="Heading1"/>
      </w:pPr>
      <w:r>
        <w:t>4. Что заполняется в XLSX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16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Лист</w:t>
            </w:r>
          </w:p>
        </w:tc>
        <w:tc>
          <w:tcPr>
            <w:tcW w:type="dxa" w:w="691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00 Индекс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01 План действий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02 Артефакты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03 Отклонения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04 Промежуточный отчет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05 Итог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</w:tbl>
    <w:p>
      <w:pPr>
        <w:pStyle w:val="Heading1"/>
      </w:pPr>
      <w:r>
        <w:t>5. Стоп-факторы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60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Стоп-фактор</w:t>
            </w:r>
          </w:p>
        </w:tc>
        <w:tc>
          <w:tcPr>
            <w:tcW w:type="dxa" w:w="648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владельца запроса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Остановить работу до назначения владельца.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права на честный вывод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начинать продукт, потому что результат будет политически безопасным, но бесполезным.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фактов, только мнения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Снизить уровень вывода до гипотезы и запросить подтверждение.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Клиент требует пропустить обязательный шаг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Зафиксировать риск и не продавать следующий продукт как полноценный.</w:t>
            </w:r>
          </w:p>
        </w:tc>
      </w:tr>
    </w:tbl>
    <w:p>
      <w:pPr>
        <w:pStyle w:val="Heading1"/>
      </w:pPr>
      <w:r>
        <w:t>6. Проверка перед закрытием продукта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60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547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Ответ должен быть виден в документах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Какой управленческий разрыв был решен или проверен?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есть конкретная формулировка.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Кто владелец следующего действия?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указан человек или роль, а не абстрактная функция.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Какой документ является итогом?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итоговый артефакт создан и связан с XLSX.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Можно ли показать клиенту пользу без объяснения всей CLM?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результат понятен на языке бизнеса.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7A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UD_PRODUCT_03_SPRINT_INTERNAL_WORK_PROTOCOL_V1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