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>
      <w:pPr>
        <w:pStyle w:val="Title"/>
        <w:jc w:val="left"/>
      </w:pPr>
      <w:r>
        <w:t>Управление Директорами. Сопровождение</w:t>
      </w:r>
    </w:p>
    <w:p>
      <w:r>
        <w:rPr>
          <w:color w:val="4A5568"/>
          <w:sz w:val="24"/>
        </w:rPr>
        <w:t>Закрепить результат после Спринта, увидеть отклонения и решить: продолжать, менять, масштабировать или завершать.</w:t>
      </w:r>
    </w:p>
    <w:p>
      <w:r>
        <w:rPr>
          <w:rFonts w:ascii="Arial" w:hAnsi="Arial" w:eastAsia="Arial"/>
        </w:rPr>
        <w:t>Документ внутренний рабочий. Версия v1.</w:t>
      </w:r>
    </w:p>
    <w:p>
      <w:pPr>
        <w:pStyle w:val="Heading1"/>
      </w:pPr>
      <w:r>
        <w:t>1. Назначение продукта</w:t>
      </w:r>
    </w:p>
    <w:p>
      <w:r>
        <w:t>Сопровождение не является обязательным, но методология должна показывать клиенту цену отсутствия контроля после изменения.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Borders>
              <w:top w:val="single" w:sz="6" w:space="0" w:color="B7D9D2"/>
              <w:left w:val="single" w:sz="6" w:space="0" w:color="B7D9D2"/>
              <w:bottom w:val="single" w:sz="6" w:space="0" w:color="B7D9D2"/>
              <w:right w:val="single" w:sz="6" w:space="0" w:color="B7D9D2"/>
            </w:tcBorders>
          </w:tcPr>
          <w:p>
            <w:r/>
            <w:r>
              <w:rPr>
                <w:b/>
                <w:color w:val="16324F"/>
                <w:sz w:val="20"/>
              </w:rPr>
              <w:t>Рабочий принцип</w:t>
            </w:r>
          </w:p>
          <w:p>
            <w:r>
              <w:rPr>
                <w:sz w:val="18"/>
              </w:rPr>
              <w:t>Этот документ предназначен для внутренней работы консультанта. Цены не указываются: коммерческая сетка живет в отдельном файле с ценами и упаковкой.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Вход и выход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type="dxa" w:w="763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Завершенный Спринт и минимум один внедренный результат, который можно проверить фактами.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Выход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Решение о дальнейшем цикле: удерживать, корректировать, масштабировать, вернуться к Сессии или завершить работу.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Ключевые блоки CLM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10-12 обязательно; 5-9 подключаются, если отклонение связано с решениями, синхронизацией, устойчивостью, лидерством или AI / ИИ.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 - продавать сопровождение как абонентское присутствие, а не как контроль удержания результата.</w:t>
            </w:r>
          </w:p>
        </w:tc>
      </w:tr>
    </w:tbl>
    <w:p>
      <w:pPr>
        <w:pStyle w:val="Heading1"/>
      </w:pPr>
      <w:r>
        <w:t>3. Рабочая последовательность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6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230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Действие</w:t>
            </w:r>
          </w:p>
        </w:tc>
        <w:tc>
          <w:tcPr>
            <w:tcW w:type="dxa" w:w="446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Зачем</w:t>
            </w:r>
          </w:p>
        </w:tc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Артефакт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Проверить факт удержания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Сравнить ожидание Спринта и реальное поведение системы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Отчет контроля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Выявить отклонения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Понять, где результат не держится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Карта отклонений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Принять решение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Продолжить, изменить, остановить или масштабировать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Протокол решения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Назначить следующий цикл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оставлять результат без владельца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Решение о следующем цикле</w:t>
            </w:r>
          </w:p>
        </w:tc>
      </w:tr>
    </w:tbl>
    <w:p>
      <w:pPr>
        <w:pStyle w:val="Heading1"/>
      </w:pPr>
      <w:r>
        <w:t>4. Что заполняется в XLSX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16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Лист</w:t>
            </w:r>
          </w:p>
        </w:tc>
        <w:tc>
          <w:tcPr>
            <w:tcW w:type="dxa" w:w="691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00 Индекс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01 Контроль результата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02 Отклонения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03 Решение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04 Следующий цикл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</w:tbl>
    <w:p>
      <w:pPr>
        <w:pStyle w:val="Heading1"/>
      </w:pPr>
      <w:r>
        <w:t>5. Стоп-факторы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60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Стоп-фактор</w:t>
            </w:r>
          </w:p>
        </w:tc>
        <w:tc>
          <w:tcPr>
            <w:tcW w:type="dxa" w:w="648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владельца запроса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Остановить работу до назначения владельца.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права на честный вывод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начинать продукт, потому что результат будет политически безопасным, но бесполезным.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фактов, только мнения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Снизить уровень вывода до гипотезы и запросить подтверждение.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Клиент требует пропустить обязательный шаг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Зафиксировать риск и не продавать следующий продукт как полноценный.</w:t>
            </w:r>
          </w:p>
        </w:tc>
      </w:tr>
    </w:tbl>
    <w:p>
      <w:pPr>
        <w:pStyle w:val="Heading1"/>
      </w:pPr>
      <w:r>
        <w:t>6. Проверка перед закрытием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60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547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Ответ должен быть виден в документах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управленческий разрыв был решен или проверен?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есть конкретная формулировка.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Кто владелец следующего действия?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указан человек или роль, а не абстрактная функция.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документ является итогом?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итоговый артефакт создан и связан с XLSX.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Можно ли показать клиенту пользу без объяснения всей CLM?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результат понятен на языке бизнеса.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UD_PRODUCT_04_SUPPORT_INTERNAL_WORK_PROTOCOL_V1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