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i w:val="0"/>
          <w:color w:val="B46A3C"/>
          <w:sz w:val="19"/>
        </w:rPr>
        <w:t>Управление Директорами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0"/>
        </w:rPr>
        <w:t>Акт проверки site-документов</w:t>
      </w:r>
    </w:p>
    <w:p>
      <w:pPr>
        <w:spacing w:after="200"/>
      </w:pPr>
      <w:r>
        <w:rPr>
          <w:rFonts w:ascii="Calibri" w:hAnsi="Calibri" w:eastAsia="Calibri"/>
          <w:b w:val="0"/>
          <w:i w:val="0"/>
          <w:color w:val="475569"/>
          <w:sz w:val="21"/>
        </w:rPr>
        <w:t>Проверка документов папки 70 Site на соответствие SSOT, продуктовой логике, ценам, claims / политике утверждений и визуальной полноте.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10166"/>
      </w:tblGrid>
      <w:tr>
        <w:tc>
          <w:tcPr>
            <w:tcW w:type="dxa" w:w="10166"/>
            <w:shd w:fill="E7F4E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0F766E"/>
                <w:sz w:val="20"/>
              </w:rPr>
              <w:t>Итог P3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8"/>
              </w:rPr>
              <w:t>Site-слой допущен к дальнейшей работе только с обновленными файлами V2/V5. Старый V4-промпт и V1-драматургия перенесены в архив как неактуальные версии.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1. Проверенные файлы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55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Файл</w:t>
            </w:r>
          </w:p>
        </w:tc>
        <w:tc>
          <w:tcPr>
            <w:tcW w:type="dxa" w:w="155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Статус</w:t>
            </w:r>
          </w:p>
        </w:tc>
        <w:tc>
          <w:tcPr>
            <w:tcW w:type="dxa" w:w="32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Решение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Управление_Директорами_CLM_Паспорт_технологии_для_сайта_V1.docx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Сохраняет ядро технологии и пригоден как передаточный паспорт.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Управление_Директорами_CLM_Site_Технология_подготовки_промпта_V1.docx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Универсальная технология подготовки промпта остается актуальной.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Управление_Директорами_CLM_Site_Контент_и_драматургия_V1.docx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HOLD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Заменен на V2: требовалось усилить коммерческое название, полный контент и визуальный опрос.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Управление_Директорами_CLM_Site_Claude_Design_Prompt_V4_Full_Content.md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HOLD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Заменен на V5: были старые имена источников и недостаточная фиксация SSOT.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Управление_Директорами_CLM_Site_Контент_и_драматургия_V2.docx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Новая активная спецификация site-драматургии.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Управление_Директорами_CLM_Site_Claude_Design_Prompt_V5_Full_Content_SSOT.md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Новый активный промпт для сайта под ключ.</w:t>
            </w:r>
          </w:p>
        </w:tc>
      </w:tr>
      <w:tr>
        <w:tc>
          <w:tcPr>
            <w:tcW w:type="dxa" w:w="4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Управление_Директорами_CLM_ТЗ_Маркетинговая_Презентация_Claude_Design_V1.docx</w:t>
            </w:r>
          </w:p>
        </w:tc>
        <w:tc>
          <w:tcPr>
            <w:tcW w:type="dxa" w:w="15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GO / запускать</w:t>
            </w:r>
          </w:p>
        </w:tc>
        <w:tc>
          <w:tcPr>
            <w:tcW w:type="dxa" w:w="32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Закрывает P3 по маркетинговой презентации.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2. Что исправлено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75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Проблема</w:t>
            </w:r>
          </w:p>
        </w:tc>
        <w:tc>
          <w:tcPr>
            <w:tcW w:type="dxa" w:w="300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Риск</w:t>
            </w:r>
          </w:p>
        </w:tc>
        <w:tc>
          <w:tcPr>
            <w:tcW w:type="dxa" w:w="3610"/>
            <w:shd w:fill="F8ECE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5"/>
              </w:rPr>
              <w:t>Исправление</w:t>
            </w:r>
          </w:p>
        </w:tc>
      </w:tr>
      <w:tr>
        <w:tc>
          <w:tcPr>
            <w:tcW w:type="dxa" w:w="27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Старое позиционирование через CLM первым словом.</w:t>
            </w:r>
          </w:p>
        </w:tc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Коммерческое название Управление Директорами терялось.</w:t>
            </w:r>
          </w:p>
        </w:tc>
        <w:tc>
          <w:tcPr>
            <w:tcW w:type="dxa" w:w="36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 V2/V5 Управление Директорами идет первым, CLM уводится в технологическую основу.</w:t>
            </w:r>
          </w:p>
        </w:tc>
      </w:tr>
      <w:tr>
        <w:tc>
          <w:tcPr>
            <w:tcW w:type="dxa" w:w="27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Старые имена источников и следы прежней папки финальных черновиков.</w:t>
            </w:r>
          </w:p>
        </w:tc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Claude Design мог взять неактуальную структуру.</w:t>
            </w:r>
          </w:p>
        </w:tc>
        <w:tc>
          <w:tcPr>
            <w:tcW w:type="dxa" w:w="36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В V5 закреплены 30 Документация, 50 Кейсы, 70 Site.</w:t>
            </w:r>
          </w:p>
        </w:tc>
      </w:tr>
      <w:tr>
        <w:tc>
          <w:tcPr>
            <w:tcW w:type="dxa" w:w="27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Недостаточно жесткая проверка полного контента.</w:t>
            </w:r>
          </w:p>
        </w:tc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 мог стать болванкой с пустыми страницами.</w:t>
            </w:r>
          </w:p>
        </w:tc>
        <w:tc>
          <w:tcPr>
            <w:tcW w:type="dxa" w:w="36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Добавлен обязательный выбор уровня полноты и запрет пустых секций.</w:t>
            </w:r>
          </w:p>
        </w:tc>
      </w:tr>
      <w:tr>
        <w:tc>
          <w:tcPr>
            <w:tcW w:type="dxa" w:w="27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Слабая визуальная режиссура.</w:t>
            </w:r>
          </w:p>
        </w:tc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Сайт мог выйти без иллюстраций и схем.</w:t>
            </w:r>
          </w:p>
        </w:tc>
        <w:tc>
          <w:tcPr>
            <w:tcW w:type="dxa" w:w="36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Добавлены обязательные hero, схемы 23 / 15 / 7, 12 блоков, до / после, футер.</w:t>
            </w:r>
          </w:p>
        </w:tc>
      </w:tr>
      <w:tr>
        <w:tc>
          <w:tcPr>
            <w:tcW w:type="dxa" w:w="275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Риск сильных promises / обещаний.</w:t>
            </w:r>
          </w:p>
        </w:tc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Публичные материалы могли обещать финансовый эффект без фактов.</w:t>
            </w:r>
          </w:p>
        </w:tc>
        <w:tc>
          <w:tcPr>
            <w:tcW w:type="dxa" w:w="361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Добавлены правила claims / утверждений и запреты.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3. Контроль SSOT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00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Контроль</w:t>
            </w:r>
          </w:p>
        </w:tc>
        <w:tc>
          <w:tcPr>
            <w:tcW w:type="dxa" w:w="6360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Результат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Коммерческое название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Управление Директорами сохранено как верхний слой.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Технологическая основа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CLM / C-Level Management / управление C-level-ядром сохранено как подзаголовок.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Продукты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Диагностика, Сессия, Спринт, Сопровождение. Презентация и стратегический разговор не являются платными продуктами.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Цены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Используются только диапазоны из документа цен.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Кейсы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12 кейсов V2 используются как обобщенные управленческие примеры.</w:t>
            </w:r>
          </w:p>
        </w:tc>
      </w:tr>
      <w:tr>
        <w:tc>
          <w:tcPr>
            <w:tcW w:type="dxa" w:w="30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Запреты</w:t>
            </w:r>
          </w:p>
        </w:tc>
        <w:tc>
          <w:tcPr>
            <w:tcW w:type="dxa" w:w="63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HR, коучинг, оргструктура, BI, board portal и система совещаний не подменяют CLM.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B1F33"/>
          <w:sz w:val="30"/>
        </w:rPr>
        <w:t>4. Ролевая проверка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8D2C8"/>
          <w:left w:val="single" w:sz="4" w:space="0" w:color="D8D2C8"/>
          <w:bottom w:val="single" w:sz="4" w:space="0" w:color="D8D2C8"/>
          <w:right w:val="single" w:sz="4" w:space="0" w:color="D8D2C8"/>
          <w:insideH w:val="single" w:sz="4" w:space="0" w:color="D8D2C8"/>
          <w:insideV w:val="single" w:sz="4" w:space="0" w:color="D8D2C8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Роль</w:t>
            </w:r>
          </w:p>
        </w:tc>
        <w:tc>
          <w:tcPr>
            <w:tcW w:type="dxa" w:w="190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Вердикт</w:t>
            </w:r>
          </w:p>
        </w:tc>
        <w:tc>
          <w:tcPr>
            <w:tcW w:type="dxa" w:w="5160"/>
            <w:shd w:fill="E7F4EF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i w:val="0"/>
                <w:color w:val="0B1F33"/>
                <w:sz w:val="16"/>
              </w:rPr>
              <w:t>Условие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Архитектор CLM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Ядро и 12-блочная архитектура сохранены.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Стратегический маркетинг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Сайт и презентация ведут к платной Диагностике.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CEO / генеральный директор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Проблема ручного управления объясняется прямо.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Собственник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Показан риск зависимости компании от людей вместо системы.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Редактор C-Level Insight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Добавлены требования к полному контенту и визуальному слою.</w:t>
            </w:r>
          </w:p>
        </w:tc>
      </w:tr>
      <w:tr>
        <w:tc>
          <w:tcPr>
            <w:tcW w:type="dxa" w:w="23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QA / контроль соответствия</w:t>
            </w:r>
          </w:p>
        </w:tc>
        <w:tc>
          <w:tcPr>
            <w:tcW w:type="dxa" w:w="190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GO / запускать</w:t>
            </w:r>
          </w:p>
        </w:tc>
        <w:tc>
          <w:tcPr>
            <w:tcW w:type="dxa" w:w="5160"/>
            <w:shd w:fill="FBFAF7"/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line="259" w:lineRule="auto"/>
            </w:pPr>
            <w:r>
              <w:rPr>
                <w:rFonts w:ascii="Calibri" w:hAnsi="Calibri" w:eastAsia="Calibri"/>
                <w:b w:val="0"/>
                <w:i w:val="0"/>
                <w:color w:val="111827"/>
                <w:sz w:val="16"/>
              </w:rPr>
              <w:t>Старые версии вынесены в архив, активные версии имеют V2/V5.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Site QA P3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Управление Директорами / CLM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Calibri" w:hAnsi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B1F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