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B46A3C"/>
          <w:sz w:val="19"/>
        </w:rPr>
        <w:t>Управление Директорами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Каталог папки 70 Site</w:t>
      </w:r>
    </w:p>
    <w:p>
      <w:pPr>
        <w:spacing w:after="200"/>
      </w:pPr>
      <w:r>
        <w:rPr>
          <w:rFonts w:ascii="Arial" w:hAnsi="Arial"/>
          <w:color w:val="475569"/>
          <w:sz w:val="20"/>
        </w:rPr>
        <w:t>Актуальные материалы сайта, промптов, визуальной постановки и маркетинговой упаковки технологии.</w:t>
      </w:r>
    </w:p>
    <w:p>
      <w:pPr>
        <w:spacing w:line="271" w:lineRule="auto" w:after="100"/>
      </w:pPr>
      <w:r>
        <w:rPr>
          <w:rFonts w:ascii="Calibri" w:hAnsi="Calibri" w:eastAsia="Calibri"/>
          <w:b w:val="0"/>
          <w:i w:val="0"/>
          <w:color w:val="111827"/>
          <w:sz w:val="20"/>
        </w:rPr>
        <w:t>Папка содержит только актуальные материалы, относящиеся к сайту технологии, подготовке промптов и P3-маркетинговой упаковке.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0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Calibri"/>
                <w:b/>
                <w:i w:val="0"/>
                <w:color w:val="0B1F33"/>
                <w:sz w:val="18"/>
              </w:rPr>
              <w:t>Файл</w:t>
            </w:r>
          </w:p>
        </w:tc>
        <w:tc>
          <w:tcPr>
            <w:tcW w:type="dxa" w:w="9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Calibri"/>
                <w:b/>
                <w:i w:val="0"/>
                <w:color w:val="0B1F33"/>
                <w:sz w:val="18"/>
              </w:rPr>
              <w:t>Тип</w:t>
            </w:r>
          </w:p>
        </w:tc>
        <w:tc>
          <w:tcPr>
            <w:tcW w:type="dxa" w:w="34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Calibri"/>
                <w:b/>
                <w:i w:val="0"/>
                <w:color w:val="0B1F33"/>
                <w:sz w:val="18"/>
              </w:rPr>
              <w:t>Назначение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Управление_Директорами_CLM_Паспорт_технологии_для_сайта_V1.docx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Передаточный паспорт технологии для сайта, презентации и внешней упаковки.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Управление_Директорами_CLM_Site_Технология_подготовки_промпта_V1.docx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Общая технология анализа документации и подготовки промпта для сайта.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Управление_Директорами_CLM_Site_Контент_и_драматургия_V2.docx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Актуальная спецификация контента, драматургии и визуальной режиссуры сайта.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Управление_Директорами_CLM_Site_Claude_Design_Prompt_V5_Full_Content_SSOT.md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MD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Готовый промпт для Claude Design на сайт под ключ с SSOT и claims / политикой утверждений.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Управление_Директорами_CLM_ТЗ_Маркетинговая_Презентация_Claude_Design_V1.docx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ТЗ для Claude Design на маркетинговую презентацию технологии.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Управление_Директорами_CLM_Site_Акт_Проверки_SSOT_Claims_V1.docx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Акт P3-проверки site-документов на соответствие SSOT и claims / политике утверждений.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Управление_Директорами_CLM_Клиентско_Смысловая_Модель_Сайта_V2.docx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DOCX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Клиентско-смысловая модель сайта V2: встроенный публичный блок “Это не...”, покупатели, ситуации входа, язык клиента / VoC, задачи клиента / JTBD, путь клиента / CJM, диагностика 7VCTR, платная Диагностика и визуальная драматургия.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Управление_Директорами_CLM_Публичный_Блок_Это_Не_V1.md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MD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B1F33"/>
                <w:sz w:val="18"/>
              </w:rPr>
              <w:t>Контрольный отдельный файл публичного блока “Это не...” для Управление Директорами / CLM: формула, анти-категории, позитивное уточнение, места использования и self-QA.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Arial" w:hAnsi="Arial"/>
                <w:color w:val="0B1F33"/>
                <w:sz w:val="18"/>
              </w:rPr>
              <w:t>Управление_Директорами_CLM_ТЗ_и_Промпт_Claude_Design_Сайт_v1.0.md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Arial" w:hAnsi="Arial"/>
                <w:color w:val="0B1F33"/>
                <w:sz w:val="18"/>
              </w:rPr>
              <w:t>MD</w:t>
            </w:r>
          </w:p>
        </w:tc>
        <w:tc>
          <w:tcPr>
            <w:tcW w:type="dxa" w:w="3389"/>
            <w:vAlign w:val="center"/>
          </w:tcPr>
          <w:p>
            <w:r>
              <w:t>Итоговое ТЗ и финальный управляющий промпт для Claude Design на сайт под ключ: структура, полный контент страниц, визуальная постановка, hero, визуализации, будущие изображения, CTA, SEO / GEO, мобильная версия / mobile, WordPress / Novomira и QA.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7F1E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Правило папки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Старые и спорные версии site-документов должны находиться в 99 Архив. В папке 70 Site остаются только последние активные версии.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Folder catalog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Управление Директорами / CLM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