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проSTRAнство</w:t>
      </w:r>
    </w:p>
    <w:p>
      <w:r>
        <w:rPr>
          <w:color w:val="595959"/>
          <w:sz w:val="30"/>
        </w:rPr>
        <w:t>визуальная архитектура и демо-экраны v1.0</w:t>
      </w:r>
    </w:p>
    <w:p>
      <w:r>
        <w:rPr>
          <w:color w:val="595959"/>
          <w:sz w:val="20"/>
        </w:rPr>
        <w:t>P2: как показывать механизм технологии без декоративной подмены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Граница. </w:t>
            </w:r>
            <w:r>
              <w:t>Это демонстрация технологии проSTRAнство, а не отдельная методология презентаций. Диагностика - обязательный платный вход. Любой экран должен вести к пониманию платной Диагностики, выбора узкого набора, моста и Спринта 30-60-90.</w:t>
            </w:r>
          </w:p>
        </w:tc>
      </w:tr>
    </w:tbl>
    <w:p>
      <w:pPr>
        <w:pStyle w:val="Heading1"/>
      </w:pPr>
      <w:r>
        <w:t>1. Главный визуальный сценарий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Экран</w:t>
            </w:r>
          </w:p>
        </w:tc>
        <w:tc>
          <w:tcPr>
            <w:tcW w:type="dxa" w:w="57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показывает</w:t>
            </w:r>
          </w:p>
        </w:tc>
        <w:tc>
          <w:tcPr>
            <w:tcW w:type="dxa" w:w="4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запрещено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1. Боль и ставка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управленческая задача, последствия для денег, клиента, операций или риска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показывать каталог моделей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2. Платная Диагностика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обязательный вход, текущий контур, факты, вердикт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делать вид, что Диагностика бесплатный пресейл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3. Вердикт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переходить к Сессии / Go, переходить к Сессии с условиями / условный Go, удержать / Hold, остановить / Stop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считать этот вердикт началом всей технологии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4. Выбранный рабочий набор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5-7 стратегических моделей и 3-5 инструментов только после диагноза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уникальное инструментальное ядро 115 как меню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5. Мост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как стратегический вывод превращается в операционное действие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оставить красивые схемы без владельцев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6. Спринт 30-60-90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владельцы, метрики, ритм, журнал решений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обещать результат без базовой линии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7. Сопровождение</w:t>
            </w:r>
          </w:p>
        </w:tc>
        <w:tc>
          <w:tcPr>
            <w:tcW w:type="dxa" w:w="57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устойчивость, откат, самостоятельность, следующий вердикт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продавать сопровождение без объекта</w:t>
            </w:r>
          </w:p>
        </w:tc>
      </w:tr>
    </w:tbl>
    <w:p/>
    <w:p>
      <w:pPr>
        <w:pStyle w:val="Heading1"/>
      </w:pPr>
      <w:r>
        <w:t>2. Артефактные экраны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Артефакт</w:t>
            </w:r>
          </w:p>
        </w:tc>
        <w:tc>
          <w:tcPr>
            <w:tcW w:type="dxa" w:w="5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Минимальное содержание</w:t>
            </w:r>
          </w:p>
        </w:tc>
        <w:tc>
          <w:tcPr>
            <w:tcW w:type="dxa" w:w="34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Контроль качества</w:t>
            </w:r>
          </w:p>
        </w:tc>
      </w:tr>
      <w:tr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карта проблемной единицы</w:t>
            </w:r>
          </w:p>
        </w:tc>
        <w:tc>
          <w:tcPr>
            <w:tcW w:type="dxa" w:w="5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симптом, доказательство, владелец, функция, риск</w:t>
            </w:r>
          </w:p>
        </w:tc>
        <w:tc>
          <w:tcPr>
            <w:tcW w:type="dxa" w:w="34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видно, почему это не просто жалоба</w:t>
            </w:r>
          </w:p>
        </w:tc>
      </w:tr>
      <w:tr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оценка текущего контура</w:t>
            </w:r>
          </w:p>
        </w:tc>
        <w:tc>
          <w:tcPr>
            <w:tcW w:type="dxa" w:w="5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есть, работает, разорвано, не трогать, пересобрать</w:t>
            </w:r>
          </w:p>
        </w:tc>
        <w:tc>
          <w:tcPr>
            <w:tcW w:type="dxa" w:w="34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видно отличие 'есть' от 'работает'</w:t>
            </w:r>
          </w:p>
        </w:tc>
      </w:tr>
      <w:tr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карта выбора</w:t>
            </w:r>
          </w:p>
        </w:tc>
        <w:tc>
          <w:tcPr>
            <w:tcW w:type="dxa" w:w="5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триггеры, наборы S/O/X, выбранные модели и инструменты</w:t>
            </w:r>
          </w:p>
        </w:tc>
        <w:tc>
          <w:tcPr>
            <w:tcW w:type="dxa" w:w="34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 полного каталога как меню</w:t>
            </w:r>
          </w:p>
        </w:tc>
      </w:tr>
      <w:tr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мост / Bridge</w:t>
            </w:r>
          </w:p>
        </w:tc>
        <w:tc>
          <w:tcPr>
            <w:tcW w:type="dxa" w:w="5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вывод стратегии, операционное действие, владелец, метрика</w:t>
            </w:r>
          </w:p>
        </w:tc>
        <w:tc>
          <w:tcPr>
            <w:tcW w:type="dxa" w:w="34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видно движение от решения к исполнению</w:t>
            </w:r>
          </w:p>
        </w:tc>
      </w:tr>
      <w:tr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план 30-60-90</w:t>
            </w:r>
          </w:p>
        </w:tc>
        <w:tc>
          <w:tcPr>
            <w:tcW w:type="dxa" w:w="5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30 дней старт, 60 дней стабилизация, 90 дней вердикт</w:t>
            </w:r>
          </w:p>
        </w:tc>
        <w:tc>
          <w:tcPr>
            <w:tcW w:type="dxa" w:w="34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есть базовая линия и проверка результата</w:t>
            </w:r>
          </w:p>
        </w:tc>
      </w:tr>
      <w:tr>
        <w:tc>
          <w:tcPr>
            <w:tcW w:type="dxa" w:w="3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экран владельцев и метрик</w:t>
            </w:r>
          </w:p>
        </w:tc>
        <w:tc>
          <w:tcPr>
            <w:tcW w:type="dxa" w:w="5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кто отвечает, что измеряет, какой ритм</w:t>
            </w:r>
          </w:p>
        </w:tc>
        <w:tc>
          <w:tcPr>
            <w:tcW w:type="dxa" w:w="34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 безличной инициативы</w:t>
            </w:r>
          </w:p>
        </w:tc>
      </w:tr>
    </w:tbl>
    <w:p/>
    <w:p>
      <w:pPr>
        <w:pStyle w:val="Heading1"/>
      </w:pPr>
      <w:r>
        <w:t>3. Правила дизайна смысла</w:t>
      </w:r>
    </w:p>
    <w:p>
      <w:pPr>
        <w:pStyle w:val="ListBullet"/>
      </w:pPr>
      <w:r>
        <w:t>первый экран не должен выглядеть как мотивационная презентация;</w:t>
      </w:r>
    </w:p>
    <w:p>
      <w:pPr>
        <w:pStyle w:val="ListBullet"/>
      </w:pPr>
      <w:r>
        <w:t>не показывать внутренние коды первым слоем клиенту;</w:t>
      </w:r>
    </w:p>
    <w:p>
      <w:pPr>
        <w:pStyle w:val="ListBullet"/>
      </w:pPr>
      <w:r>
        <w:t>английские термины использовать только через / после русского термина;</w:t>
      </w:r>
    </w:p>
    <w:p>
      <w:pPr>
        <w:pStyle w:val="ListBullet"/>
      </w:pPr>
      <w:r>
        <w:t>не рисовать искусственный интеллект / AI отдельным блоком функции;</w:t>
      </w:r>
    </w:p>
    <w:p>
      <w:pPr>
        <w:pStyle w:val="ListBullet"/>
      </w:pPr>
      <w:r>
        <w:t>в каждом внешнем сценарии есть платная Диагностика как вход;</w:t>
      </w:r>
    </w:p>
    <w:p>
      <w:pPr>
        <w:pStyle w:val="ListBullet"/>
      </w:pPr>
      <w:r>
        <w:t>в каждом сценарии вердикт переходить к Сессии / Go трактуется только как переход к Сессии.</w:t>
      </w:r>
    </w:p>
    <w:p>
      <w:pPr>
        <w:pStyle w:val="Heading1"/>
      </w:pPr>
      <w:r>
        <w:t>4. Мини-сценарий презентации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Мин.</w:t>
            </w:r>
          </w:p>
        </w:tc>
        <w:tc>
          <w:tcPr>
            <w:tcW w:type="dxa" w:w="6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Содержание</w:t>
            </w:r>
          </w:p>
        </w:tc>
        <w:tc>
          <w:tcPr>
            <w:tcW w:type="dxa" w:w="4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Цель</w:t>
            </w:r>
          </w:p>
        </w:tc>
      </w:tr>
      <w:tr>
        <w:tc>
          <w:tcPr>
            <w:tcW w:type="dxa" w:w="1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0-3</w:t>
            </w:r>
          </w:p>
        </w:tc>
        <w:tc>
          <w:tcPr>
            <w:tcW w:type="dxa" w:w="6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показать боль и ставку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клиент узнает себя</w:t>
            </w:r>
          </w:p>
        </w:tc>
      </w:tr>
      <w:tr>
        <w:tc>
          <w:tcPr>
            <w:tcW w:type="dxa" w:w="1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3-7</w:t>
            </w:r>
          </w:p>
        </w:tc>
        <w:tc>
          <w:tcPr>
            <w:tcW w:type="dxa" w:w="6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объяснить платную Диагностику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клиент понимает, почему вход не бесплатный</w:t>
            </w:r>
          </w:p>
        </w:tc>
      </w:tr>
      <w:tr>
        <w:tc>
          <w:tcPr>
            <w:tcW w:type="dxa" w:w="1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7-12</w:t>
            </w:r>
          </w:p>
        </w:tc>
        <w:tc>
          <w:tcPr>
            <w:tcW w:type="dxa" w:w="6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показать маршрут: диагноз -&gt; Сессия -&gt; Спринт -&gt; Сопровождение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спутать с аудитом или сессией</w:t>
            </w:r>
          </w:p>
        </w:tc>
      </w:tr>
      <w:tr>
        <w:tc>
          <w:tcPr>
            <w:tcW w:type="dxa" w:w="1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12-18</w:t>
            </w:r>
          </w:p>
        </w:tc>
        <w:tc>
          <w:tcPr>
            <w:tcW w:type="dxa" w:w="6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показать один кейсовый маршрут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доказать применимость без обещания одинакового результата</w:t>
            </w:r>
          </w:p>
        </w:tc>
      </w:tr>
      <w:tr>
        <w:tc>
          <w:tcPr>
            <w:tcW w:type="dxa" w:w="1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18-25</w:t>
            </w:r>
          </w:p>
        </w:tc>
        <w:tc>
          <w:tcPr>
            <w:tcW w:type="dxa" w:w="6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обсудить квалификацию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перейти к платной Диагностике</w:t>
            </w:r>
          </w:p>
        </w:tc>
      </w:tr>
    </w:tbl>
    <w:p/>
    <w:sectPr w:rsidR="00FC693F" w:rsidRPr="0006063C" w:rsidSect="00034616"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