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6"/>
        </w:rPr>
        <w:t>проSTRAнство</w:t>
      </w:r>
    </w:p>
    <w:p>
      <w:pPr>
        <w:spacing w:after="160"/>
      </w:pPr>
      <w:r>
        <w:rPr>
          <w:rFonts w:ascii="Calibri" w:hAnsi="Calibri" w:eastAsia="Calibri"/>
          <w:color w:val="56616A"/>
          <w:sz w:val="22"/>
        </w:rPr>
        <w:t>единый терминологический стандарт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110" w:type="dxa"/>
          <w:start w:w="140" w:type="dxa"/>
          <w:bottom w:w="110" w:type="dxa"/>
          <w:end w:w="140" w:type="dxa"/>
        </w:tblCellMar>
      </w:tblPr>
      <w:tblGrid>
        <w:gridCol w:w="9648"/>
      </w:tblGrid>
      <w:tr>
        <w:tc>
          <w:tcPr>
            <w:tcW w:type="dxa" w:w="9648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20"/>
              </w:rPr>
              <w:t>Глоссарий / Glossary по технологии проSTRAнство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12"/>
        <w:gridCol w:w="2412"/>
        <w:gridCol w:w="2412"/>
        <w:gridCol w:w="2412"/>
      </w:tblGrid>
      <w:tr>
        <w:tc>
          <w:tcPr>
            <w:tcW w:type="dxa" w:w="2088"/>
            <w:shd w:fill="DDE7EA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Статус</w:t>
            </w:r>
          </w:p>
        </w:tc>
        <w:tc>
          <w:tcPr>
            <w:tcW w:type="dxa" w:w="1440"/>
            <w:shd w:fill="DDE7EA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Версия</w:t>
            </w:r>
          </w:p>
        </w:tc>
        <w:tc>
          <w:tcPr>
            <w:tcW w:type="dxa" w:w="1800"/>
            <w:shd w:fill="DDE7EA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Дата</w:t>
            </w:r>
          </w:p>
        </w:tc>
        <w:tc>
          <w:tcPr>
            <w:tcW w:type="dxa" w:w="4031"/>
            <w:shd w:fill="DDE7EA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Основание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терминологический стандарт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v0.3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 июля 2026</w:t>
            </w:r>
          </w:p>
        </w:tc>
        <w:tc>
          <w:tcPr>
            <w:tcW w:type="dxa" w:w="4031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операционная система v0.2; FAQ v0.3; клиентский пакет v0.3; каноническое ядро 115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110" w:type="dxa"/>
          <w:start w:w="140" w:type="dxa"/>
          <w:bottom w:w="110" w:type="dxa"/>
          <w:end w:w="140" w:type="dxa"/>
        </w:tblCellMar>
      </w:tblPr>
      <w:tblGrid>
        <w:gridCol w:w="9648"/>
      </w:tblGrid>
      <w:tr>
        <w:tc>
          <w:tcPr>
            <w:tcW w:type="dxa" w:w="9648"/>
            <w:shd w:fill="F7F3E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20"/>
              </w:rPr>
              <w:t>Назначение. Глоссарий фиксирует единый язык технологии проSTRAнство. Если термин не нужен для применения технологии, он не должен раздувать рабочие документы.</w:t>
            </w:r>
          </w:p>
        </w:tc>
      </w:tr>
    </w:tbl>
    <w:p/>
    <w:p>
      <w:pPr>
        <w:pStyle w:val="Heading1"/>
      </w:pPr>
      <w:r>
        <w:t>1. Правила ведения глоссария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24"/>
        <w:gridCol w:w="4824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Правило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Содержание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Русский термин основной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Английский термин, аббревиатура или технический код используются рядом только если они закреплены в документах или нужны для точности.</w:t>
            </w:r>
          </w:p>
        </w:tc>
      </w:tr>
      <w:tr>
        <w:tc>
          <w:tcPr>
            <w:tcW w:type="dxa" w:w="288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Один термин - одно значение</w:t>
            </w:r>
          </w:p>
        </w:tc>
        <w:tc>
          <w:tcPr>
            <w:tcW w:type="dxa" w:w="648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В разных документах термин не должен менять смысл. Если смысл меняется, нужен новый термин или уточнение статуса.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Без новых сущностей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Глоссарий не вводит новые продукты, этапы, гарантии или функции, которых нет в принятой технологии.</w:t>
            </w:r>
          </w:p>
        </w:tc>
      </w:tr>
      <w:tr>
        <w:tc>
          <w:tcPr>
            <w:tcW w:type="dxa" w:w="288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Связь с комплектом</w:t>
            </w:r>
          </w:p>
        </w:tc>
        <w:tc>
          <w:tcPr>
            <w:tcW w:type="dxa" w:w="648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FAQ, рабочие формы, клиентский пакет и методология используют этот словарь, а не создают параллельные определения.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Контроль дублей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9"/>
              </w:rPr>
              <w:t>Термины, инструменты, метрики, меры и шаблоны не смешиваются между собой.</w:t>
            </w:r>
          </w:p>
        </w:tc>
      </w:tr>
    </w:tbl>
    <w:p/>
    <w:p>
      <w:pPr>
        <w:pStyle w:val="Heading1"/>
      </w:pPr>
      <w:r>
        <w:t>2. Статусы терминов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16"/>
        <w:gridCol w:w="3216"/>
        <w:gridCol w:w="3216"/>
      </w:tblGrid>
      <w:tr>
        <w:tc>
          <w:tcPr>
            <w:tcW w:type="dxa" w:w="2015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Статус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Значение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Где использовать</w:t>
            </w:r>
          </w:p>
        </w:tc>
      </w:tr>
      <w:tr>
        <w:tc>
          <w:tcPr>
            <w:tcW w:type="dxa" w:w="2015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Ядерный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Без термина технология не работает.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Методология, клиентский пакет, FAQ, рабочие формы.</w:t>
            </w:r>
          </w:p>
        </w:tc>
      </w:tr>
      <w:tr>
        <w:tc>
          <w:tcPr>
            <w:tcW w:type="dxa" w:w="2015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Рабочий</w:t>
            </w:r>
          </w:p>
        </w:tc>
        <w:tc>
          <w:tcPr>
            <w:tcW w:type="dxa" w:w="432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Термин нужен для заполнения формы, выбора инструмента или управленческого вывода.</w:t>
            </w:r>
          </w:p>
        </w:tc>
        <w:tc>
          <w:tcPr>
            <w:tcW w:type="dxa" w:w="302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Диагностика, Сессия, Спринт, таблицы.</w:t>
            </w:r>
          </w:p>
        </w:tc>
      </w:tr>
      <w:tr>
        <w:tc>
          <w:tcPr>
            <w:tcW w:type="dxa" w:w="2015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Справочный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Термин помогает объяснить контекст, но не обязан быть в каждой форме.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FAQ, презентационные пояснения, обучение команды.</w:t>
            </w:r>
          </w:p>
        </w:tc>
      </w:tr>
      <w:tr>
        <w:tc>
          <w:tcPr>
            <w:tcW w:type="dxa" w:w="2015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Ограничение</w:t>
            </w:r>
          </w:p>
        </w:tc>
        <w:tc>
          <w:tcPr>
            <w:tcW w:type="dxa" w:w="432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Термин задает границу, запрет или стоп-линию.</w:t>
            </w:r>
          </w:p>
        </w:tc>
        <w:tc>
          <w:tcPr>
            <w:tcW w:type="dxa" w:w="302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FAQ, договоренности проекта, контроль качества.</w:t>
            </w:r>
          </w:p>
        </w:tc>
      </w:tr>
      <w:tr>
        <w:tc>
          <w:tcPr>
            <w:tcW w:type="dxa" w:w="2015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Служебный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Термин нужен для версий, приемки, архива, реестров и внутреннего контроля.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Реестры, аудит, проектная документация.</w:t>
            </w:r>
          </w:p>
        </w:tc>
      </w:tr>
    </w:tbl>
    <w:p/>
    <w:p>
      <w:pPr>
        <w:pStyle w:val="Heading1"/>
      </w:pPr>
      <w:r>
        <w:t>3. Ядро технологии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12"/>
        <w:gridCol w:w="2412"/>
        <w:gridCol w:w="2412"/>
        <w:gridCol w:w="2412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Термин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Статус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Определение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Как использовать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проSTRAнство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Технология сборки связки стратегии и операционного исполнения компании.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как название технологии.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Связка стратегии и операций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Рабочая логика, в которой стратегический выбор переводится в операционные инструменты, владельцев, показатели и исполнение.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для объяснения главного смысла технологии.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Управленческий контур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Система владельцев, данных, решений, ритмов, показателей, инструментов и действий, через которую компания получает результат.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Проверять в Диагностике.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Проблемная единица / Problem Unit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Формализованный фрагмент проблемы, который можно проверить, связать с триггерами, моделями, инструментами и Спринтом.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Начинать с нее диагностику и сессию.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Набор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Группа стратегических, операционных или сквозных моделей, через которую классифицируется проблемная единица.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вместе с триггером.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Триггер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Сигнал управленческой проблемы или изменения, который запускает выбор моделей и инструментов.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Ранжировать и группировать перед Сессией.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Ресурс компании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Функциональная область, через которую компания управляет результатом: операции, финансы, информационные технологии, продажи, маркетинг, персонал.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в распределении инструментов.</w:t>
            </w:r>
          </w:p>
        </w:tc>
      </w:tr>
    </w:tbl>
    <w:p/>
    <w:p>
      <w:pPr>
        <w:pStyle w:val="Heading1"/>
      </w:pPr>
      <w:r>
        <w:t>4. Диагностика и вердикт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12"/>
        <w:gridCol w:w="2412"/>
        <w:gridCol w:w="2412"/>
        <w:gridCol w:w="2412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Термин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Статус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Определение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Как использовать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Диагностика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Этап проверки проблемной единицы, текущего контура, данных, триггеров и готовности к следующему шагу.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Проводить до Сессии.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Симптом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Наблюдаемое проявление проблемы: падение маржи, срыв сроков, спорные данные, конфликт функций, потеря клиента.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Не считать диагнозом без проверки.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Формулируемая проблема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Проблема, которую клиент уже может назвать словами.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Проверять фактами и метриками.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Неформулируемая проблема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Важный разрыв, который клиент еще не называет, но который влияет на результат.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Выявлять через вопросы, данные и контур.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Что уже есть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Элементы контура, которые формально присутствуют в компании.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Не считать автоматически работающими.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Что работает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Элементы контура, которые имеют владельца, данные, ритм, решение, показатель и факт исполнения.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Отделять от “есть”.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Что разорвано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Связь, которая формально существует, но не приводит к управляемому действию или результату.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Передавать в карту проблемной единицы.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Что не надо трогать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Ограничение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 элемент контура, который не следует менять без причины.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Защищать от лишней пересборки.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Что надо пересобрать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Элемент или связь, которые мешают переходу от стратегии к результату.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Включать в Сессию или Спринт.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Диагностический вердикт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Решение по итогам Диагностики: идти дальше, взять паузу или остановить работу.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Фиксировать до Сессии.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Идти дальше / Go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Статус, при котором есть смысл переходить к Сессии или следующему этапу.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после проверки готовности.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Пауза / Hold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Статус, при котором сначала нужно закрыть условия: данные, владельца, рамку, доступ или внутреннее согласие.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Не подменять им отказ.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Остановить / Stop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Ограничение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Статус, при котором технология сейчас не нужна или не может быть применена честно.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без имитации проекта.</w:t>
            </w:r>
          </w:p>
        </w:tc>
      </w:tr>
    </w:tbl>
    <w:p/>
    <w:p>
      <w:pPr>
        <w:pStyle w:val="Heading1"/>
      </w:pPr>
      <w:r>
        <w:t>5. Сессия, мост, Спринт и Сопровождение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12"/>
        <w:gridCol w:w="2412"/>
        <w:gridCol w:w="2412"/>
        <w:gridCol w:w="2412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Термин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Статус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Определение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Как использовать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Сессия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Этап выбора стратегических моделей, операционных инструментов и согласования Спринта.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Проводить после Диагностики.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Стратегическая модель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Модель из стратегического слоя, которая помогает выбрать курс, ставку, сценарий, портфель, бизнес-модель или организационный ответ.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Выбирать 5-7 моделей на Сессии.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Операционный инструмент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Инструмент операционного слоя, который помогает перевести решение в действие, показатель, ритм, процесс или контроль.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Выбирать 10-20 инструментов на Сессии.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Мост / Bridge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Связка между проблемной единицей, моделями, инструментами, функциями, владельцами, метриками и действиями.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Строить как обязательный итог Сессии.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Спринт / Sprint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Ограниченный период исполнения решения с действиями, владельцами, контрольными точками и показателями.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Применять в формате 30-60-90.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Спринт 30-60-90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Трехэтапная рамка исполнения: быстрый запуск, стабилизация, закрепление результата.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как базовый формат внедрения.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Сопровождение / Support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Этап наблюдения за результатом, корректировок и решения о следующей волне работы.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Проводить после Спринта.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Владелец решения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Человек или роль, отвечающие за доведение решения до результата.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Фиксировать в Спринте.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Контрольная точка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Дата или событие, где проверяются действия, данные, метрики и препятствия.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в плане 30-60-90.</w:t>
            </w:r>
          </w:p>
        </w:tc>
      </w:tr>
    </w:tbl>
    <w:p/>
    <w:p>
      <w:pPr>
        <w:pStyle w:val="Heading1"/>
      </w:pPr>
      <w:r>
        <w:t>6. Инструментальное ядро и первоисточники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12"/>
        <w:gridCol w:w="2412"/>
        <w:gridCol w:w="2412"/>
        <w:gridCol w:w="2412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Термин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Статус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Определение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Как использовать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Инструментальное ядро 115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Ядерный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Уникальный набор инструментов после снятия дублей между операционным, финансовым и клиентским интеллектом.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как контрольную сумму v0.3.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Операционный интеллект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Источник 100 операционных инструментов.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как первоисточник операционного слоя.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Финансовый интеллект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Источник 6 финансовых инструментов и логики денежного результата.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Рассматривать внутри FIN.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Клиентский интеллект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Источник 10 клиентских инструментов и логики клиентского результата.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Рассматривать внутри MRK и SLS.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Дубль инструмента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Повтор или пересечение инструмента между источниками, который не должен считаться отдельным инструментом.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Снимать через каноническое ядро.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Обогащенный инструмент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Единственный инструмент, в который сведена информация из всех найденных дублей.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вместо параллельных версий.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Канонический идентификатор / canonical_id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Служебный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Уникальный идентификатор инструмента в каноническом реестре.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Не менять без необходимости.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Справочник инструментов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Таблица с названием, кратким описанием, типом, первоисточником и страницей или главой.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для навигации по книгам.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Карточка знания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Справочный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Расширенное описание инструмента на основе индексированного первоисточника.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как дополнительный формат к справочнику.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Первоисточник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Служебный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Книга или таблица, из которой взяты модели, инструменты и определения.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Хранить в папке 10 Первоисточники.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Ручная приемка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Служебный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Человеческая проверка результата дедубликации и классификации после машинной сборки.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для защиты от повторной ошибки.</w:t>
            </w:r>
          </w:p>
        </w:tc>
      </w:tr>
    </w:tbl>
    <w:p/>
    <w:p>
      <w:pPr>
        <w:pStyle w:val="Heading1"/>
      </w:pPr>
      <w:r>
        <w:t>7. Функции компании и границы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12"/>
        <w:gridCol w:w="2412"/>
        <w:gridCol w:w="2412"/>
        <w:gridCol w:w="2412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Термин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Статус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Определение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Как использовать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Операции / OPE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Функция процессов, потоков, качества, сроков, эффективности и операционного исполнения.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как одну из шести функций.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Финансы / FIN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Функция денежного результата, ликвидности, маржи, бюджета, риска и финансовой управляемости.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Выделять как критичный контур результата.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Информационные технологии / IT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Функция данных, архитектуры, систем, автоматизации и технологических сценариев.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Учитывать искусственный интеллект внутри этой функции.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Продажи / SLS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Функция выручки, каналов, сделок, воронки, клиентов и коммерческого исполнения.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Рассматривать вместе с клиентским интеллектом.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Маркетинг / MRK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Функция рынка, бренда, спроса, клиентского опыта и ценностного предложения.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Рассматривать вместе с клиентским интеллектом.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Персонал / HR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Функция людей, ролей, лидерства, культуры, компетенций и организационного обучения.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Использовать как одну из шести функций.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Искусственный интеллект / AI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Ограничение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Не отдельная функция технологии v0.3; учитывается внутри информационных технологий при наличии конкретного инструмента или сценария.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Не выносить в самостоятельный контур.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Клиентский контур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Связка маркетинга и продаж, через которую компания управляет клиентским вниманием, спросом, повторными покупками и опытом.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Не считать отдельной функцией компании.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Финансовый контур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Рабочий</w:t>
            </w:r>
          </w:p>
        </w:tc>
        <w:tc>
          <w:tcPr>
            <w:tcW w:type="dxa" w:w="3960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Связка управленческих решений с денежным результатом, маржей, ликвидностью и риском.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Проверять как критичную часть результата.</w:t>
            </w:r>
          </w:p>
        </w:tc>
      </w:tr>
      <w:tr>
        <w:tc>
          <w:tcPr>
            <w:tcW w:type="dxa" w:w="237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Стоп-линия</w:t>
            </w:r>
          </w:p>
        </w:tc>
        <w:tc>
          <w:tcPr>
            <w:tcW w:type="dxa" w:w="144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Ограничение</w:t>
            </w:r>
          </w:p>
        </w:tc>
        <w:tc>
          <w:tcPr>
            <w:tcW w:type="dxa" w:w="3960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Условие, при котором нельзя продолжать проект без риска имитации или неверного обещания.</w:t>
            </w:r>
          </w:p>
        </w:tc>
        <w:tc>
          <w:tcPr>
            <w:tcW w:type="dxa" w:w="158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7"/>
              </w:rPr>
              <w:t>Фиксировать в FAQ, Диагностике и договоренностях.</w:t>
            </w:r>
          </w:p>
        </w:tc>
      </w:tr>
    </w:tbl>
    <w:p/>
    <w:p>
      <w:pPr>
        <w:pStyle w:val="Heading1"/>
      </w:pPr>
      <w:r>
        <w:t>Основание и границы документа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24"/>
        <w:gridCol w:w="4824"/>
      </w:tblGrid>
      <w:tr>
        <w:tc>
          <w:tcPr>
            <w:tcW w:type="dxa" w:w="302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Правило</w:t>
            </w:r>
          </w:p>
        </w:tc>
        <w:tc>
          <w:tcPr>
            <w:tcW w:type="dxa" w:w="633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Содержание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 отдельной AI-функции</w:t>
            </w:r>
          </w:p>
        </w:tc>
        <w:tc>
          <w:tcPr>
            <w:tcW w:type="dxa" w:w="633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Искусственный интеллект учитывается внутри информационных технологий / IT только при наличии конкретного инструмента или сценария.</w:t>
            </w:r>
          </w:p>
        </w:tc>
      </w:tr>
      <w:tr>
        <w:tc>
          <w:tcPr>
            <w:tcW w:type="dxa" w:w="302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 умножения дублей</w:t>
            </w:r>
          </w:p>
        </w:tc>
        <w:tc>
          <w:tcPr>
            <w:tcW w:type="dxa" w:w="633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Дубли инструментов не увеличивают ядро; остается один обогащенный инструмент.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 подмены первоисточников</w:t>
            </w:r>
          </w:p>
        </w:tc>
        <w:tc>
          <w:tcPr>
            <w:tcW w:type="dxa" w:w="6336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Глоссарий объясняет термины, но не переписывает книги и не заменяет справочник инструментов.</w:t>
            </w:r>
          </w:p>
        </w:tc>
      </w:tr>
      <w:tr>
        <w:tc>
          <w:tcPr>
            <w:tcW w:type="dxa" w:w="3024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Контроль языка</w:t>
            </w:r>
          </w:p>
        </w:tc>
        <w:tc>
          <w:tcPr>
            <w:tcW w:type="dxa" w:w="6336"/>
            <w:shd w:fill="FBFAF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Новые документы должны использовать эти определения или явно фиксировать причину отклонения.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2F34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