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E79"/>
          <w:sz w:val="42"/>
        </w:rPr>
        <w:t>Квалификация клиента перед Диагностикой v1.0</w:t>
      </w:r>
    </w:p>
    <w:p>
      <w:r>
        <w:rPr>
          <w:rFonts w:ascii="Calibri" w:hAnsi="Calibri"/>
          <w:color w:val="5B6770"/>
          <w:sz w:val="22"/>
        </w:rPr>
        <w:t>Рабочий фильтр: кому можно предлагать платную Диагностику, а кому нельзя.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9866"/>
      </w:tblGrid>
      <w:tr>
        <w:tc>
          <w:tcPr>
            <w:tcW w:type="dxa" w:w="9865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9"/>
              </w:rPr>
              <w:t xml:space="preserve">Статус. </w:t>
            </w:r>
            <w:r>
              <w:rPr>
                <w:rFonts w:ascii="Calibri" w:hAnsi="Calibri"/>
                <w:color w:val="1F2933"/>
                <w:sz w:val="19"/>
              </w:rPr>
              <w:t>P3. Коммерческая упаковка после методической приемки. Документ не переписывает ядро технологии и не заменяет Диагностику.</w:t>
            </w:r>
          </w:p>
        </w:tc>
      </w:tr>
    </w:tbl>
    <w:p/>
    <w:p>
      <w:pPr>
        <w:pStyle w:val="Heading1"/>
      </w:pPr>
      <w:r>
        <w:t>1. Назначение</w:t>
      </w:r>
    </w:p>
    <w:p>
      <w:r>
        <w:t>Квалификация нужна, чтобы не превращать первый разговор в бесплатную стратегическую консультацию. Ее задача - понять, есть ли право предлагать клиенту платную Диагностику.</w:t>
      </w:r>
    </w:p>
    <w:p>
      <w:pPr>
        <w:pStyle w:val="Heading1"/>
      </w:pPr>
      <w:r>
        <w:t>2. Пять условий допуска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3289"/>
        <w:gridCol w:w="3289"/>
        <w:gridCol w:w="3289"/>
      </w:tblGrid>
      <w:tr>
        <w:tc>
          <w:tcPr>
            <w:tcW w:type="dxa" w:w="1814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Условие</w:t>
            </w:r>
          </w:p>
        </w:tc>
        <w:tc>
          <w:tcPr>
            <w:tcW w:type="dxa" w:w="4082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Что проверяем</w:t>
            </w:r>
          </w:p>
        </w:tc>
        <w:tc>
          <w:tcPr>
            <w:tcW w:type="dxa" w:w="3912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Красный сигнал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Боль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Проблема влияет на маржу, деньги, клиента, скорость, качество или риск.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Есть интерес к методологии, но нет управленческой боли.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Мандат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Есть лицо решения и владелец проблемы.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Инициатор не может открыть данные и собрать участников.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Данные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Клиент готов показать документы, метрики, отчеты и факты.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Нужен вывод без проверки данных.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Готовность к фактам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Клиент допускает неприятный вердикт.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Нужно подтвердить уже принятое решение.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Платный вход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Клиент понимает ценность Диагностики как отдельного результата.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Ожидается бесплатный план внедрения.</w:t>
            </w:r>
          </w:p>
        </w:tc>
      </w:tr>
    </w:tbl>
    <w:p/>
    <w:p>
      <w:pPr>
        <w:pStyle w:val="Heading1"/>
      </w:pPr>
      <w:r>
        <w:t>3. Вопросы квалификации</w:t>
      </w:r>
    </w:p>
    <w:p>
      <w:pPr>
        <w:spacing w:after="80"/>
        <w:ind w:left="312" w:hanging="198"/>
      </w:pPr>
      <w:r>
        <w:rPr>
          <w:rFonts w:ascii="Calibri" w:hAnsi="Calibri"/>
          <w:b/>
          <w:color w:val="1F4E79"/>
        </w:rPr>
        <w:t xml:space="preserve">1. </w:t>
      </w:r>
      <w:r>
        <w:rPr>
          <w:rFonts w:ascii="Calibri" w:hAnsi="Calibri"/>
        </w:rPr>
        <w:t>Что именно перестало получаться и где это видно в результате?</w:t>
      </w:r>
    </w:p>
    <w:p>
      <w:pPr>
        <w:spacing w:after="80"/>
        <w:ind w:left="312" w:hanging="198"/>
      </w:pPr>
      <w:r>
        <w:rPr>
          <w:rFonts w:ascii="Calibri" w:hAnsi="Calibri"/>
          <w:b/>
          <w:color w:val="1F4E79"/>
        </w:rPr>
        <w:t xml:space="preserve">2. </w:t>
      </w:r>
      <w:r>
        <w:rPr>
          <w:rFonts w:ascii="Calibri" w:hAnsi="Calibri"/>
        </w:rPr>
        <w:t>Кто владеет проблемой и кто принимает решение о Диагностике?</w:t>
      </w:r>
    </w:p>
    <w:p>
      <w:pPr>
        <w:spacing w:after="80"/>
        <w:ind w:left="312" w:hanging="198"/>
      </w:pPr>
      <w:r>
        <w:rPr>
          <w:rFonts w:ascii="Calibri" w:hAnsi="Calibri"/>
          <w:b/>
          <w:color w:val="1F4E79"/>
        </w:rPr>
        <w:t xml:space="preserve">3. </w:t>
      </w:r>
      <w:r>
        <w:rPr>
          <w:rFonts w:ascii="Calibri" w:hAnsi="Calibri"/>
        </w:rPr>
        <w:t>Какие данные можно проверить до вывода?</w:t>
      </w:r>
    </w:p>
    <w:p>
      <w:pPr>
        <w:spacing w:after="80"/>
        <w:ind w:left="312" w:hanging="198"/>
      </w:pPr>
      <w:r>
        <w:rPr>
          <w:rFonts w:ascii="Calibri" w:hAnsi="Calibri"/>
          <w:b/>
          <w:color w:val="1F4E79"/>
        </w:rPr>
        <w:t xml:space="preserve">4. </w:t>
      </w:r>
      <w:r>
        <w:rPr>
          <w:rFonts w:ascii="Calibri" w:hAnsi="Calibri"/>
        </w:rPr>
        <w:t>Какие функции затронуты: операции, финансы, продажи, маркетинг, персонал, информационные технологии?</w:t>
      </w:r>
    </w:p>
    <w:p>
      <w:pPr>
        <w:spacing w:after="80"/>
        <w:ind w:left="312" w:hanging="198"/>
      </w:pPr>
      <w:r>
        <w:rPr>
          <w:rFonts w:ascii="Calibri" w:hAnsi="Calibri"/>
          <w:b/>
          <w:color w:val="1F4E79"/>
        </w:rPr>
        <w:t xml:space="preserve">5. </w:t>
      </w:r>
      <w:r>
        <w:rPr>
          <w:rFonts w:ascii="Calibri" w:hAnsi="Calibri"/>
        </w:rPr>
        <w:t>Что нельзя трогать в компании сейчас?</w:t>
      </w:r>
    </w:p>
    <w:p>
      <w:pPr>
        <w:spacing w:after="80"/>
        <w:ind w:left="312" w:hanging="198"/>
      </w:pPr>
      <w:r>
        <w:rPr>
          <w:rFonts w:ascii="Calibri" w:hAnsi="Calibri"/>
          <w:b/>
          <w:color w:val="1F4E79"/>
        </w:rPr>
        <w:t xml:space="preserve">6. </w:t>
      </w:r>
      <w:r>
        <w:rPr>
          <w:rFonts w:ascii="Calibri" w:hAnsi="Calibri"/>
        </w:rPr>
        <w:t>Готовы ли вы к вердикту не переходить дальше сейчас / Hold или остановить / Stop?</w:t>
      </w:r>
    </w:p>
    <w:p>
      <w:pPr>
        <w:pStyle w:val="Heading1"/>
      </w:pPr>
      <w:r>
        <w:t>4. Решение после квалификации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3289"/>
        <w:gridCol w:w="3289"/>
        <w:gridCol w:w="3289"/>
      </w:tblGrid>
      <w:tr>
        <w:tc>
          <w:tcPr>
            <w:tcW w:type="dxa" w:w="2268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Решение</w:t>
            </w:r>
          </w:p>
        </w:tc>
        <w:tc>
          <w:tcPr>
            <w:tcW w:type="dxa" w:w="4139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Когда применять</w:t>
            </w:r>
          </w:p>
        </w:tc>
        <w:tc>
          <w:tcPr>
            <w:tcW w:type="dxa" w:w="3402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Действие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Предлагать Диагностику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боль, мандат, данные и готовность к платному входу подтверждены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отправить КП на Диагностику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Вернуться позже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есть боль, но нет данных, участников или мандата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зафиксировать условия возврата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Отказать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клиент хочет бесплатный план, скрывает данные или просит подтвердить готовое решение</w:t>
            </w:r>
          </w:p>
        </w:tc>
        <w:tc>
          <w:tcPr>
            <w:tcW w:type="dxa" w:w="32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8"/>
              </w:rPr>
              <w:t>не начинать проект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9866"/>
      </w:tblGrid>
      <w:tr>
        <w:tc>
          <w:tcPr>
            <w:tcW w:type="dxa" w:w="9865"/>
            <w:shd w:fill="FFF4C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9"/>
              </w:rPr>
              <w:t xml:space="preserve">Запрет. </w:t>
            </w:r>
            <w:r>
              <w:rPr>
                <w:rFonts w:ascii="Calibri" w:hAnsi="Calibri"/>
                <w:color w:val="1F2933"/>
                <w:sz w:val="19"/>
              </w:rPr>
              <w:t>Квалификация не решает проблему клиента. Она только проверяет право входа в платную Диагностику.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>Диагностика - обязательный платный вход. Сессия не продается автоматически.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проSTRAнство | коммерческий пакет P3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