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Итоговая точка приемки клиентского пакета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Вердикт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Клиентский пакет v0.3 принят как комплект документации для текущей версии технологии: маршрут, рабочие формы, реестр и аудит собраны; критические терминологические и визуальные блокеры не обнаружены.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714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Состав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10 блоков: 00-09 плюс эта итоговая точка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Форматы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документы / DOCX и таблицы / XLSX</w:t>
            </w:r>
          </w:p>
        </w:tc>
      </w:tr>
      <w:tr>
        <w:trPr>
          <w:cantSplit/>
        </w:trP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Общий аудит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9 файлов проверены, отсутствующих файлов 0, визуальных пропусков 0, терминологических нарушений 0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Контроль качества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общий аудит принят</w:t>
            </w:r>
          </w:p>
        </w:tc>
      </w:tr>
      <w:tr>
        <w:trPr>
          <w:cantSplit/>
        </w:trP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 как клиентский пакет v0.3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Ограничение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это не коммерческий оффер и не обещание бизнес-результата без владельцев, данных и права решений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Маршрут</w:t>
            </w:r>
          </w:p>
        </w:tc>
        <w:tc>
          <w:tcPr>
            <w:tcW w:type="dxa" w:w="1958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Формы</w:t>
            </w:r>
          </w:p>
        </w:tc>
        <w:tc>
          <w:tcPr>
            <w:tcW w:type="dxa" w:w="1958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Реестр</w:t>
            </w:r>
          </w:p>
        </w:tc>
        <w:tc>
          <w:tcPr>
            <w:tcW w:type="dxa" w:w="1958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Аудит</w:t>
            </w:r>
          </w:p>
        </w:tc>
        <w:tc>
          <w:tcPr>
            <w:tcW w:type="dxa" w:w="1958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Приемка</w:t>
            </w:r>
          </w:p>
        </w:tc>
      </w:tr>
    </w:tbl>
    <w:p/>
    <w:p>
      <w:pPr>
        <w:pStyle w:val="Heading1"/>
      </w:pPr>
      <w:r>
        <w:t>1. Состав принятого комплекта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85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283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Документ</w:t>
            </w:r>
          </w:p>
        </w:tc>
        <w:tc>
          <w:tcPr>
            <w:tcW w:type="dxa" w:w="408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164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00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Состав клиентского пакета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объясняет маршрут и границы</w:t>
            </w:r>
          </w:p>
        </w:tc>
        <w:tc>
          <w:tcPr>
            <w:tcW w:type="dxa" w:w="164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01</w:t>
            </w:r>
          </w:p>
        </w:tc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Старт проекта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фиксирует владельцев, доступы и календарь</w:t>
            </w:r>
          </w:p>
        </w:tc>
        <w:tc>
          <w:tcPr>
            <w:tcW w:type="dxa" w:w="164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  <w:tr>
        <w:trPr>
          <w:cantSplit/>
        </w:trP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02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Диагностика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факты, проблемные единицы и текущий контур</w:t>
            </w:r>
          </w:p>
        </w:tc>
        <w:tc>
          <w:tcPr>
            <w:tcW w:type="dxa" w:w="164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03</w:t>
            </w:r>
          </w:p>
        </w:tc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Сессия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переводит диагноз в выбор, мост / Bridge и Спринт</w:t>
            </w:r>
          </w:p>
        </w:tc>
        <w:tc>
          <w:tcPr>
            <w:tcW w:type="dxa" w:w="164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  <w:tr>
        <w:trPr>
          <w:cantSplit/>
        </w:trP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04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Спринт 30-60-90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запускает владельцев, ритм, метрики и вердикт</w:t>
            </w:r>
          </w:p>
        </w:tc>
        <w:tc>
          <w:tcPr>
            <w:tcW w:type="dxa" w:w="164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05</w:t>
            </w:r>
          </w:p>
        </w:tc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Сопровождение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устойчивость контура и следующий цикл</w:t>
            </w:r>
          </w:p>
        </w:tc>
        <w:tc>
          <w:tcPr>
            <w:tcW w:type="dxa" w:w="164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  <w:tr>
        <w:trPr>
          <w:cantSplit/>
        </w:trP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06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Сводная карта пакета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фиксирует текущую точку и разрывы</w:t>
            </w:r>
          </w:p>
        </w:tc>
        <w:tc>
          <w:tcPr>
            <w:tcW w:type="dxa" w:w="164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07</w:t>
            </w:r>
          </w:p>
        </w:tc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Рабочие формы клиента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формы заполнения по стадиям</w:t>
            </w:r>
          </w:p>
        </w:tc>
        <w:tc>
          <w:tcPr>
            <w:tcW w:type="dxa" w:w="164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  <w:tr>
        <w:trPr>
          <w:cantSplit/>
        </w:trP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08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Реестр клиентского пакета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фиксирует состав, использование и контроль</w:t>
            </w:r>
          </w:p>
        </w:tc>
        <w:tc>
          <w:tcPr>
            <w:tcW w:type="dxa" w:w="164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09</w:t>
            </w:r>
          </w:p>
        </w:tc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Общий аудит пакета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комплектность, терминологию и визуальные основания</w:t>
            </w:r>
          </w:p>
        </w:tc>
        <w:tc>
          <w:tcPr>
            <w:tcW w:type="dxa" w:w="164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</w:tbl>
    <w:p/>
    <w:p>
      <w:pPr>
        <w:pStyle w:val="Heading1"/>
      </w:pPr>
      <w:r>
        <w:t>2. Основание приемки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43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</w:t>
            </w:r>
          </w:p>
        </w:tc>
        <w:tc>
          <w:tcPr>
            <w:tcW w:type="dxa" w:w="351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345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Вывод</w:t>
            </w:r>
          </w:p>
        </w:tc>
      </w:tr>
      <w:tr>
        <w:trPr>
          <w:cantSplit/>
        </w:trP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Комплектность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файлы 00-09 есть</w:t>
            </w:r>
          </w:p>
        </w:tc>
        <w:tc>
          <w:tcPr>
            <w:tcW w:type="dxa" w:w="345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комплект собран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Визуальная проверка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для документов есть рендеры, для таблиц есть превью</w:t>
            </w:r>
          </w:p>
        </w:tc>
        <w:tc>
          <w:tcPr>
            <w:tcW w:type="dxa" w:w="345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визуальный контроль закрыт</w:t>
            </w:r>
          </w:p>
        </w:tc>
      </w:tr>
      <w:tr>
        <w:trPr>
          <w:cantSplit/>
        </w:trP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Терминология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запрещенные паттерны не найдены</w:t>
            </w:r>
          </w:p>
        </w:tc>
        <w:tc>
          <w:tcPr>
            <w:tcW w:type="dxa" w:w="345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терминологический шлюз закрыт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Бренд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видимое написание: проSTRAнство</w:t>
            </w:r>
          </w:p>
        </w:tc>
        <w:tc>
          <w:tcPr>
            <w:tcW w:type="dxa" w:w="345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бренд-форма удержана</w:t>
            </w:r>
          </w:p>
        </w:tc>
      </w:tr>
      <w:tr>
        <w:trPr>
          <w:cantSplit/>
        </w:trP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Искусственный интеллект / AI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выделен как отдельная функция</w:t>
            </w:r>
          </w:p>
        </w:tc>
        <w:tc>
          <w:tcPr>
            <w:tcW w:type="dxa" w:w="345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находится только внутри информационных технологий / IT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Контроль качества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общий аудит принят</w:t>
            </w:r>
          </w:p>
        </w:tc>
        <w:tc>
          <w:tcPr>
            <w:tcW w:type="dxa" w:w="345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контрольный слой закрыт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Что считается принятым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Принят именно комплект документации v0.3: маршрут, формы, реестр и аудит. Не принимаются автоматически коммерческий оффер, цена, договор, клиентская презентация и проверочные кейсы.</w:t>
            </w:r>
          </w:p>
        </w:tc>
      </w:tr>
    </w:tbl>
    <w:p/>
    <w:p>
      <w:pPr>
        <w:pStyle w:val="Heading1"/>
      </w:pPr>
      <w:r>
        <w:t>3. Границы готовности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Готово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Не входит в эту приемку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структура клиентского маршрута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коммерческий оффер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документы стадий 00-06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ценообразование и договорные условия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рабочие формы клиента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полная библиотека инструментов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реестр клиентского пакета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презентация для продажи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общий аудит v0.3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проверка на новых проверочных кейсах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правила контроля терминологии и визуального качества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обещание финансового результата без действий клиента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Жесткое ограничение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Пакет можно использовать как основу для проекта, но нельзя продавать как гарантию результата. Результат зависит от фактов, владельцев, данных, права решений и готовности клиента действовать.</w:t>
            </w:r>
          </w:p>
        </w:tc>
      </w:tr>
    </w:tbl>
    <w:p/>
    <w:p>
      <w:pPr>
        <w:pStyle w:val="Heading1"/>
      </w:pPr>
      <w:r>
        <w:t>4. Следующее решение владельца проекта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60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</w:t>
            </w:r>
          </w:p>
        </w:tc>
        <w:tc>
          <w:tcPr>
            <w:tcW w:type="dxa" w:w="340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выбирать</w:t>
            </w:r>
          </w:p>
        </w:tc>
        <w:tc>
          <w:tcPr>
            <w:tcW w:type="dxa" w:w="340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60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Закрыть v0.3 как принятую версию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если нужен стабильный комплект документации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зафиксировать версию и перейти к использованию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Собрать клиентскую презентацию</w:t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если нужен внешний показ без рабочих деталей</w:t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делать отдельно, не смешивать с методологией</w:t>
            </w:r>
          </w:p>
        </w:tc>
      </w:tr>
      <w:tr>
        <w:trPr>
          <w:cantSplit/>
        </w:trPr>
        <w:tc>
          <w:tcPr>
            <w:tcW w:type="dxa" w:w="260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Вернуться к справочнику и карточкам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если нужно углубить инструментальный слой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работать от книг и источников, не менять клиентский пакет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Проверить на проверочных кейсах</w:t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если нужно испытание технологии на кейсах</w:t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вести отдельным контуром проверки</w:t>
            </w:r>
          </w:p>
        </w:tc>
      </w:tr>
      <w:tr>
        <w:trPr>
          <w:cantSplit/>
        </w:trPr>
        <w:tc>
          <w:tcPr>
            <w:tcW w:type="dxa" w:w="260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Готовить коммерческий оффер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только после отдельного решения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делать автоматически из этого документа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клиентская версия / Client Package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итоговая приемка клиентского пакета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проSTRAнство. Итоговая точка приемки клиентского пакета v0.3</dc:title>
  <dc:subject>Client Package v0.3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