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Состав клиентского пакета и порядок использования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Этот документ объясняет, какие материалы клиент видит в проекте проSTRAнство, на какой стадии они применяются, что заполняется вместе с клиентом и какие материалы не нужны для прохождения проекта.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14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Версия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v0.3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клиентская упаковка технологии v0.3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Аудитория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собственник, генеральный директор, первый круг управления, клиентский спонсор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выход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понятная карта проекта: что будет до Диагностики, в Диагностике, на Сессии, в Спринте и в Сопровождении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Важное ограничение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документ не раскрывает материалы, которые не нужны клиенту для запуска и прохождения проекта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Старт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Диагностика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Сессия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Спринт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Сопровождение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Выход</w:t>
            </w:r>
          </w:p>
        </w:tc>
      </w:tr>
    </w:tbl>
    <w:p/>
    <w:p>
      <w:pPr>
        <w:pStyle w:val="Heading1"/>
      </w:pPr>
      <w:r>
        <w:t>1. Что входит в клиентский пакет v0.3</w:t>
      </w:r>
    </w:p>
    <w:p>
      <w:pPr>
        <w:spacing w:after="120" w:line="300" w:lineRule="auto"/>
      </w:pPr>
      <w:r>
        <w:t>Клиентский пакет v0.3 - это версия материалов для проекта с клиентом. Он не заменяет полную методологию, а переводит ее в понятный маршрут: вход, работа, результат, границы и ответственность сторон.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85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294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Документ клиента</w:t>
            </w:r>
          </w:p>
        </w:tc>
        <w:tc>
          <w:tcPr>
            <w:tcW w:type="dxa" w:w="243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используется</w:t>
            </w:r>
          </w:p>
        </w:tc>
        <w:tc>
          <w:tcPr>
            <w:tcW w:type="dxa" w:w="317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дает клиенту</w:t>
            </w:r>
          </w:p>
        </w:tc>
      </w:tr>
      <w:t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00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Состав клиентского пакета и порядок использования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 старта проекта</w:t>
            </w:r>
          </w:p>
        </w:tc>
        <w:tc>
          <w:tcPr>
            <w:tcW w:type="dxa" w:w="317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понимание состава, логики и границ проекта</w:t>
            </w:r>
          </w:p>
        </w:tc>
      </w:tr>
      <w:t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01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Старт проекта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коммерческого согласия</w:t>
            </w:r>
          </w:p>
        </w:tc>
        <w:tc>
          <w:tcPr>
            <w:tcW w:type="dxa" w:w="317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роли, доступы, календарь, первый круг и условия запуска</w:t>
            </w:r>
          </w:p>
        </w:tc>
      </w:tr>
      <w:t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02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Диагностика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 Сессии</w:t>
            </w:r>
          </w:p>
        </w:tc>
        <w:tc>
          <w:tcPr>
            <w:tcW w:type="dxa" w:w="317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сбор фактов, проблемных единиц / Problem Unit и диагностический вердикт</w:t>
            </w:r>
          </w:p>
        </w:tc>
      </w:tr>
      <w:t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03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Сессия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Диагностики при вердикте запускать / Go</w:t>
            </w:r>
          </w:p>
        </w:tc>
        <w:tc>
          <w:tcPr>
            <w:tcW w:type="dxa" w:w="317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выбор 1-3 приоритетных триггеров, 5-7 стратегических моделей / STRAT и операционного стека</w:t>
            </w:r>
          </w:p>
        </w:tc>
      </w:tr>
      <w:t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04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Спринт 30-60-90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Сессии</w:t>
            </w:r>
          </w:p>
        </w:tc>
        <w:tc>
          <w:tcPr>
            <w:tcW w:type="dxa" w:w="317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владельцы, метрики, ритм, действия и правила остановки</w:t>
            </w:r>
          </w:p>
        </w:tc>
      </w:tr>
      <w:t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05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Сопровождение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Спринта</w:t>
            </w:r>
          </w:p>
        </w:tc>
        <w:tc>
          <w:tcPr>
            <w:tcW w:type="dxa" w:w="317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удержание контура, развилки продолжения, сокращения участия, перезапуска или выхода</w:t>
            </w:r>
          </w:p>
        </w:tc>
      </w:tr>
      <w:tr>
        <w:tc>
          <w:tcPr>
            <w:tcW w:type="dxa" w:w="8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06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Рабочие формы клиента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 мере работы</w:t>
            </w:r>
          </w:p>
        </w:tc>
        <w:tc>
          <w:tcPr>
            <w:tcW w:type="dxa" w:w="317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чистые формы, которые клиент видит, заполняет или согласует</w:t>
            </w:r>
          </w:p>
        </w:tc>
      </w:tr>
      <w:tr>
        <w:tc>
          <w:tcPr>
            <w:tcW w:type="dxa" w:w="8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07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Границы обещания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 подписания и перед запуском</w:t>
            </w:r>
          </w:p>
        </w:tc>
        <w:tc>
          <w:tcPr>
            <w:tcW w:type="dxa" w:w="317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технология дает, чего не обещает и где нужна отдельная работа</w:t>
            </w:r>
          </w:p>
        </w:tc>
      </w:tr>
    </w:tbl>
    <w:p/>
    <w:p>
      <w:pPr>
        <w:pStyle w:val="Heading1"/>
      </w:pPr>
      <w:r>
        <w:t>2. Что клиент получает и чем не перегружается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Клиенту показываем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Не включаем в клиентскую выдачу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маршрут проекта и порядок стадий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полную методологическую архитектуру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стартовые роли, доступы, календарь и правила решений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технические журналы контроля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чистые формы Диагностики, Сессии, Спринта и Сопровождения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полную библиотеку инструментов и правила выбора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выбранные под кейс модели и инструменты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навигационные таблицы, если они не нужны клиенту для решения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согласованный мост / Bridge по конкретной проблеме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полные правила выбора, проверки и контроля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понятные границы обещания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историю подготовки материалов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Правило внешней выдачи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Клиент получает не библиотеку технологии, а рабочий маршрут и только те материалы, которые помогают пройти проект. Полная методология нужна для качества работы, но не должна становиться предметом продажи или перегруза клиента.</w:t>
            </w:r>
          </w:p>
        </w:tc>
      </w:tr>
    </w:tbl>
    <w:p/>
    <w:p>
      <w:pPr>
        <w:pStyle w:val="Heading1"/>
      </w:pPr>
      <w:r>
        <w:t>3. Как использовать пакет по стадиям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47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Стадия</w:t>
            </w:r>
          </w:p>
        </w:tc>
        <w:tc>
          <w:tcPr>
            <w:tcW w:type="dxa" w:w="260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328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Работа</w:t>
            </w:r>
          </w:p>
        </w:tc>
        <w:tc>
          <w:tcPr>
            <w:tcW w:type="dxa" w:w="204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c>
          <w:tcPr>
            <w:tcW w:type="dxa" w:w="147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Старт</w:t>
            </w:r>
          </w:p>
        </w:tc>
        <w:tc>
          <w:tcPr>
            <w:tcW w:type="dxa" w:w="260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интерес, запрос или коммерческое согласие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фиксируем владельца, первый круг, доступы, календарь и границы</w:t>
            </w:r>
          </w:p>
        </w:tc>
        <w:tc>
          <w:tcPr>
            <w:tcW w:type="dxa" w:w="204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решение: запускать старт проекта или удержать / Hold</w:t>
            </w:r>
          </w:p>
        </w:tc>
      </w:tr>
      <w:tr>
        <w:tc>
          <w:tcPr>
            <w:tcW w:type="dxa" w:w="147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Диагностика</w:t>
            </w:r>
          </w:p>
        </w:tc>
        <w:tc>
          <w:tcPr>
            <w:tcW w:type="dxa" w:w="260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доступ к фактам и первому кругу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проверяем текущий контур, явные и скрытые проблемные единицы / Problem Unit, факты и противоречия</w:t>
            </w:r>
          </w:p>
        </w:tc>
        <w:tc>
          <w:tcPr>
            <w:tcW w:type="dxa" w:w="204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диагностический вердикт / Diagnostic Verdict: запускать / Go, удержать / Hold или остановить / Stop</w:t>
            </w:r>
          </w:p>
        </w:tc>
      </w:tr>
      <w:tr>
        <w:tc>
          <w:tcPr>
            <w:tcW w:type="dxa" w:w="147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Сессия</w:t>
            </w:r>
          </w:p>
        </w:tc>
        <w:tc>
          <w:tcPr>
            <w:tcW w:type="dxa" w:w="260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диагноз и 1-3 приоритетных триггера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выбираем 5-7 стратегических моделей / STRAT, 3-5 операционных инструментов и строим мост / Bridge</w:t>
            </w:r>
          </w:p>
        </w:tc>
        <w:tc>
          <w:tcPr>
            <w:tcW w:type="dxa" w:w="204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согласованный Спринт 30-60-90</w:t>
            </w:r>
          </w:p>
        </w:tc>
      </w:tr>
      <w:tr>
        <w:tc>
          <w:tcPr>
            <w:tcW w:type="dxa" w:w="147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Спринт</w:t>
            </w:r>
          </w:p>
        </w:tc>
        <w:tc>
          <w:tcPr>
            <w:tcW w:type="dxa" w:w="260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мост / Bridge, владельцы и метрики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запускаем действия, ритм, контроль, недельные решения и стоп-правила</w:t>
            </w:r>
          </w:p>
        </w:tc>
        <w:tc>
          <w:tcPr>
            <w:tcW w:type="dxa" w:w="204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первые изменения в управленческом контуре</w:t>
            </w:r>
          </w:p>
        </w:tc>
      </w:tr>
      <w:tr>
        <w:tc>
          <w:tcPr>
            <w:tcW w:type="dxa" w:w="147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Сопровождение</w:t>
            </w:r>
          </w:p>
        </w:tc>
        <w:tc>
          <w:tcPr>
            <w:tcW w:type="dxa" w:w="260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результат Спринта и объект удержания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проверяем откат, новые проблемные единицы, решение о следующем цикле</w:t>
            </w:r>
          </w:p>
        </w:tc>
        <w:tc>
          <w:tcPr>
            <w:tcW w:type="dxa" w:w="204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продолжить, сократить участие, перезапустить, пересобрать или выйти</w:t>
            </w:r>
          </w:p>
        </w:tc>
      </w:tr>
    </w:tbl>
    <w:p/>
    <w:p>
      <w:pPr>
        <w:pStyle w:val="Heading1"/>
      </w:pPr>
      <w:r>
        <w:t>4. Что обещаем и чего не обещаем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Обещаем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Не обещаем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структурировать запрос и отделить симптомы от проблемных единиц / Problem Unit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готовую стратегию за один день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дать честный диагностический вердикт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автоматический переход к Сессии, если Диагностика показывает удержать / Hold или остановить / Stop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связать стратегический выбор и операционное исполнение через мост / Bridge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гарантированный рост выручки или прибыли без управленческих решений клиента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выбрать ограниченный рабочий стек моделей и инструментов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показать клиенту всю библиотеку и все рабочие реестры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довести Сессию до согласованного Спринта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заменить менеджмент клиента или снять с него ответственность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удерживать контур после Спринта через Сопровождение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магическую автоматизацию, искусственный интеллект / AI или данные без владельцев и правил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Главная формула обещания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проSTRAнство обещает не красивую сессию, а управляемый переход от проблемной единицы к согласованному действию: Диагностика -&gt; Сессия -&gt; Спринт -&gt; Сопровождение.</w:t>
            </w:r>
          </w:p>
        </w:tc>
      </w:tr>
    </w:tbl>
    <w:p/>
    <w:p>
      <w:pPr>
        <w:pStyle w:val="Heading1"/>
      </w:pPr>
      <w:r>
        <w:t>5. Роли клиента и команды проекта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62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делает</w:t>
            </w:r>
          </w:p>
        </w:tc>
        <w:tc>
          <w:tcPr>
            <w:tcW w:type="dxa" w:w="351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 это важно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спонсор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право решений, держит первый круг, снимает организационные блокировки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без него проект превращается в обсуждение без владельца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Первый круг управления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факты, противоречия, ограничения и реальные развилки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Диагностика должна видеть не только формулируемые жалобы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владелец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денежные факты, маржу, денежный поток, ограничения и риски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интеллект / FIN показывает фактический результат решений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владелец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клиентские сигналы, продажи, маркетинг, удержание, доверие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интеллект / CUSTOMER показывает, где создается или теряется спрос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Методолог проSTRAнство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держит маршрут, вопросы, шлюзы и качество связки стратегии и операционного исполнения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дает технологии расползтись в обычную фасилитацию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Координатор проекта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ведет календарь, доступы, документы и протоколы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без операционной дисциплины проект теряет скорость</w:t>
            </w:r>
          </w:p>
        </w:tc>
      </w:tr>
    </w:tbl>
    <w:p/>
    <w:p>
      <w:pPr>
        <w:pStyle w:val="Heading1"/>
      </w:pPr>
      <w:r>
        <w:t>6. Критерии готовности клиентского пакета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487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Критерий принятия</w:t>
            </w:r>
          </w:p>
        </w:tc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Статус для v0.3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Понятность</w:t>
            </w:r>
          </w:p>
        </w:tc>
        <w:tc>
          <w:tcPr>
            <w:tcW w:type="dxa" w:w="48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 понимает, что будет происходить на каждой стадии</w:t>
            </w:r>
          </w:p>
        </w:tc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обязательно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Границы</w:t>
            </w:r>
          </w:p>
        </w:tc>
        <w:tc>
          <w:tcPr>
            <w:tcW w:type="dxa" w:w="48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ясно, что технология дает и чего не обещает</w:t>
            </w:r>
          </w:p>
        </w:tc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обязательно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Без перегруза</w:t>
            </w:r>
          </w:p>
        </w:tc>
        <w:tc>
          <w:tcPr>
            <w:tcW w:type="dxa" w:w="48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лишних деталей разработки, которые не помогают клиенту понять маршрут, роли, результат и границы</w:t>
            </w:r>
          </w:p>
        </w:tc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обязательно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Связь со стадиями</w:t>
            </w:r>
          </w:p>
        </w:tc>
        <w:tc>
          <w:tcPr>
            <w:tcW w:type="dxa" w:w="48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каждый документ привязан к старту, Диагностике, Сессии, Спринту или Сопровождению</w:t>
            </w:r>
          </w:p>
        </w:tc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обязательно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Русский стиль</w:t>
            </w:r>
          </w:p>
        </w:tc>
        <w:tc>
          <w:tcPr>
            <w:tcW w:type="dxa" w:w="48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английские термины идут только через русское пояснение / English</w:t>
            </w:r>
          </w:p>
        </w:tc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обязательно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Бренд</w:t>
            </w:r>
          </w:p>
        </w:tc>
        <w:tc>
          <w:tcPr>
            <w:tcW w:type="dxa" w:w="48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видимое написание: проSTRAнство</w:t>
            </w:r>
          </w:p>
        </w:tc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обязательно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Имена файлов</w:t>
            </w:r>
          </w:p>
        </w:tc>
        <w:tc>
          <w:tcPr>
            <w:tcW w:type="dxa" w:w="48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названия файлов используются только для навигации внутри папки</w:t>
            </w:r>
          </w:p>
        </w:tc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принято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клиентская версия / Client Package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состав клиентского пакета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проSTRAнство. Состав клиентского пакета v0.3</dc:title>
  <dc:subject>Client Package v0.3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