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2"/>
        </w:rPr>
        <w:t>Коммерческий пакет проSTRAнство v1.0</w:t>
      </w:r>
    </w:p>
    <w:p>
      <w:r>
        <w:rPr>
          <w:rFonts w:ascii="Calibri" w:hAnsi="Calibri"/>
          <w:color w:val="5B6770"/>
          <w:sz w:val="22"/>
        </w:rPr>
        <w:t>Внутренняя рамка продажи платной Диагностики и защиты технологии от подмены.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9"/>
              </w:rPr>
              <w:t>P3. Коммерческая упаковка после методической приемки. Документ не переписывает ядро технологии и не заменяет Диагностику.</w:t>
            </w:r>
          </w:p>
        </w:tc>
      </w:tr>
    </w:tbl>
    <w:p/>
    <w:p>
      <w:pPr>
        <w:pStyle w:val="Heading1"/>
      </w:pPr>
      <w:r>
        <w:t>1. Что продает P3</w:t>
      </w:r>
    </w:p>
    <w:p>
      <w:r>
        <w:t>P3 продает первый платный продукт технологии: Диагностику. Не Сессию, не аудит, не день фасилитации и не каталог моделей.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Диагностика проверяет текущий стратегическо-операционный контур.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Диагностика формализует проблемную единицу и отделяет жалобу от доказанного разрыва.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Диагностика может завершиться решением не переходить дальше сейчас / Hold или остановить / Stop.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Переход к Сессии / Go возможен только при фактах, данных, мандате и понятной группе триггеров.</w:t>
      </w:r>
    </w:p>
    <w:p>
      <w:pPr>
        <w:pStyle w:val="Heading1"/>
      </w:pPr>
      <w:r>
        <w:t>2. Коммерческая формула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Формула. </w:t>
            </w:r>
            <w:r>
              <w:rPr>
                <w:rFonts w:ascii="Calibri" w:hAnsi="Calibri"/>
                <w:color w:val="1F2933"/>
                <w:sz w:val="19"/>
              </w:rPr>
              <w:t>проSTRAнство помогает собственнику и генеральному директору сначала платно проверить, где разорван контур стратегия -&gt; операции -&gt; результат, а затем рационально решить: переходить к Сессии / Go, переходить к Сессии с условиями, не переходить дальше сейчас / Hold или остановить / Stop.</w:t>
            </w:r>
          </w:p>
        </w:tc>
      </w:tr>
    </w:tbl>
    <w:p/>
    <w:p>
      <w:pPr>
        <w:pStyle w:val="Heading1"/>
      </w:pPr>
      <w:r>
        <w:t>3. Карта P3-материалов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289"/>
        <w:gridCol w:w="3289"/>
        <w:gridCol w:w="3289"/>
      </w:tblGrid>
      <w:tr>
        <w:tc>
          <w:tcPr>
            <w:tcW w:type="dxa" w:w="226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Файл</w:t>
            </w:r>
          </w:p>
        </w:tc>
        <w:tc>
          <w:tcPr>
            <w:tcW w:type="dxa" w:w="4139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Для чего нужен</w:t>
            </w:r>
          </w:p>
        </w:tc>
        <w:tc>
          <w:tcPr>
            <w:tcW w:type="dxa" w:w="345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Главная защита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Коммерческий пакет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Внутренняя рамка продажи и стоп-линии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продавать Сессию вместо Диагностики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Квалификация клиента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Фильтр перед платным входом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проводить бесплатную мини-Диагностику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Коммерческое предложение Диагностика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Клиентское КП на первый платный шаг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обещать стратегию и внедрение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Письма и сообщения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Готовые тексты касаний и ответов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отдавать бесплатный диагноз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Презентация для собственника и генерального директора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Короткое объяснение механизма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выглядеть как стратегическая сессия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Сайт: структура и тексты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Основа будущей страницы технологии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делать витрину моделей</w:t>
            </w:r>
          </w:p>
        </w:tc>
      </w:tr>
    </w:tbl>
    <w:p/>
    <w:p>
      <w:pPr>
        <w:pStyle w:val="Heading1"/>
      </w:pPr>
      <w:r>
        <w:t>4. Кому продавать Диагностику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собственнику или генеральному директору, если есть управленческая боль с влиянием на результат;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первому управленческому кругу при наличии мандата и доступа к данным;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компании, где стратегия, операции, финансы, клиент, продажи, маркетинг, персонал или информационные технологии спорят друг с другом;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компании, где много инициатив, но нет проверяемого моста в исполнение.</w:t>
      </w:r>
    </w:p>
    <w:p>
      <w:pPr>
        <w:pStyle w:val="Heading1"/>
      </w:pPr>
      <w:r>
        <w:t>5. Кому не продавать Диагностику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клиенту без мандата;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клиенту, который хочет бесплатный план внедрения;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клиенту, который просит подтвердить уже принятое решение;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клиенту, который скрывает данные;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клиенту, который хочет мотивационную сессию вместо проверки контура.</w:t>
      </w:r>
    </w:p>
    <w:p>
      <w:pPr>
        <w:pStyle w:val="Heading1"/>
      </w:pPr>
      <w:r>
        <w:t>6. Лестница продуктов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289"/>
        <w:gridCol w:w="3289"/>
        <w:gridCol w:w="3289"/>
      </w:tblGrid>
      <w:tr>
        <w:tc>
          <w:tcPr>
            <w:tcW w:type="dxa" w:w="1984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Этап</w:t>
            </w:r>
          </w:p>
        </w:tc>
        <w:tc>
          <w:tcPr>
            <w:tcW w:type="dxa" w:w="419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Что продается</w:t>
            </w:r>
          </w:p>
        </w:tc>
        <w:tc>
          <w:tcPr>
            <w:tcW w:type="dxa" w:w="368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Когда можно переходить дальше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Квалификация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45-60 минут без решения проблемы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боль, мандат, данные и готовность к платной Диагностике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Диагностика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7-10 рабочих дней; 650 000 - 1 200 000 руб.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подтвержденная проблемная единица и условия Сессии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Сессия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выбор фреймворков, инструментов и моста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рабочий набор, владельцы, метрики и устав Спринта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Спринт 30-60-90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проверка выбранного контура в действии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факты результата, устойчивость или решение пересобрать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Сопровождение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удержание контура после Спринта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объект сопровождения и риск отката</w:t>
            </w:r>
          </w:p>
        </w:tc>
      </w:tr>
    </w:tbl>
    <w:p/>
    <w:p>
      <w:pPr>
        <w:pStyle w:val="Heading1"/>
      </w:pPr>
      <w:r>
        <w:t>7. Стоп-линии продажи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использовать 100 стратегических фреймворков и уникальное инструментальное ядро 115 как меню выбора.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обещать финансовый результат до проверки данных.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продавать Спринт до Сессии.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продавать Сопровождение без объекта сопровождения.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Не использовать английский алиас как внутренний знак согласования: в клиентском тексте допустима только связка переходить к Сессии / Go.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коммерческий пакет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