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4E79"/>
          <w:sz w:val="42"/>
        </w:rPr>
        <w:t>Коммерческое предложение: Диагностика проSTRAнства v1.0</w:t>
      </w:r>
    </w:p>
    <w:p>
      <w:r>
        <w:rPr>
          <w:rFonts w:ascii="Calibri" w:hAnsi="Calibri"/>
          <w:color w:val="5B6770"/>
          <w:sz w:val="22"/>
        </w:rPr>
        <w:t>Клиентский документ для продажи первого платного шага.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</w:tblPr>
      <w:tblGrid>
        <w:gridCol w:w="9866"/>
      </w:tblGrid>
      <w:tr>
        <w:tc>
          <w:tcPr>
            <w:tcW w:type="dxa" w:w="9865"/>
            <w:shd w:fill="EAF2F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9"/>
              </w:rPr>
              <w:t xml:space="preserve">Статус. </w:t>
            </w:r>
            <w:r>
              <w:rPr>
                <w:rFonts w:ascii="Calibri" w:hAnsi="Calibri"/>
                <w:color w:val="1F2933"/>
                <w:sz w:val="19"/>
              </w:rPr>
              <w:t>P3. Коммерческая упаковка после методической приемки. Документ не переписывает ядро технологии и не заменяет Диагностику.</w:t>
            </w:r>
          </w:p>
        </w:tc>
      </w:tr>
    </w:tbl>
    <w:p/>
    <w:p>
      <w:pPr>
        <w:pStyle w:val="Heading1"/>
      </w:pPr>
      <w:r>
        <w:t>1. Зачем нужна Диагностика</w:t>
      </w:r>
    </w:p>
    <w:p>
      <w:r>
        <w:t>Если сразу идти в Сессию, компания рискует обсуждать версии, симптомы и инициативы. Диагностика нужна, чтобы доказательно понять, где разорван контур стратегия -&gt; операции -&gt; результат.</w:t>
      </w:r>
    </w:p>
    <w:p>
      <w:pPr>
        <w:pStyle w:val="Heading1"/>
      </w:pPr>
      <w:r>
        <w:t>2. Что проверяет Диагностика</w:t>
      </w:r>
    </w:p>
    <w:p>
      <w:pPr>
        <w:spacing w:after="60"/>
        <w:ind w:left="255" w:hanging="142"/>
      </w:pPr>
      <w:r>
        <w:rPr>
          <w:rFonts w:ascii="Calibri" w:hAnsi="Calibri"/>
          <w:color w:val="1F4E79"/>
        </w:rPr>
        <w:t xml:space="preserve">- </w:t>
      </w:r>
      <w:r>
        <w:rPr>
          <w:rFonts w:ascii="Calibri" w:hAnsi="Calibri"/>
        </w:rPr>
        <w:t>текущий стратегическо-операционный контур;</w:t>
      </w:r>
    </w:p>
    <w:p>
      <w:pPr>
        <w:spacing w:after="60"/>
        <w:ind w:left="255" w:hanging="142"/>
      </w:pPr>
      <w:r>
        <w:rPr>
          <w:rFonts w:ascii="Calibri" w:hAnsi="Calibri"/>
          <w:color w:val="1F4E79"/>
        </w:rPr>
        <w:t xml:space="preserve">- </w:t>
      </w:r>
      <w:r>
        <w:rPr>
          <w:rFonts w:ascii="Calibri" w:hAnsi="Calibri"/>
        </w:rPr>
        <w:t>проблемные единицы и их влияние на результат;</w:t>
      </w:r>
    </w:p>
    <w:p>
      <w:pPr>
        <w:spacing w:after="60"/>
        <w:ind w:left="255" w:hanging="142"/>
      </w:pPr>
      <w:r>
        <w:rPr>
          <w:rFonts w:ascii="Calibri" w:hAnsi="Calibri"/>
          <w:color w:val="1F4E79"/>
        </w:rPr>
        <w:t xml:space="preserve">- </w:t>
      </w:r>
      <w:r>
        <w:rPr>
          <w:rFonts w:ascii="Calibri" w:hAnsi="Calibri"/>
        </w:rPr>
        <w:t>факты, данные, документы и разные версии управленческой правды;</w:t>
      </w:r>
    </w:p>
    <w:p>
      <w:pPr>
        <w:spacing w:after="60"/>
        <w:ind w:left="255" w:hanging="142"/>
      </w:pPr>
      <w:r>
        <w:rPr>
          <w:rFonts w:ascii="Calibri" w:hAnsi="Calibri"/>
          <w:color w:val="1F4E79"/>
        </w:rPr>
        <w:t xml:space="preserve">- </w:t>
      </w:r>
      <w:r>
        <w:rPr>
          <w:rFonts w:ascii="Calibri" w:hAnsi="Calibri"/>
        </w:rPr>
        <w:t>что уже есть, что работает, что разорвано, что не надо трогать и что надо пересобрать;</w:t>
      </w:r>
    </w:p>
    <w:p>
      <w:pPr>
        <w:spacing w:after="60"/>
        <w:ind w:left="255" w:hanging="142"/>
      </w:pPr>
      <w:r>
        <w:rPr>
          <w:rFonts w:ascii="Calibri" w:hAnsi="Calibri"/>
          <w:color w:val="1F4E79"/>
        </w:rPr>
        <w:t xml:space="preserve">- </w:t>
      </w:r>
      <w:r>
        <w:rPr>
          <w:rFonts w:ascii="Calibri" w:hAnsi="Calibri"/>
        </w:rPr>
        <w:t>условия перехода к Сессии.</w:t>
      </w:r>
    </w:p>
    <w:p>
      <w:pPr>
        <w:pStyle w:val="Heading1"/>
      </w:pPr>
      <w:r>
        <w:t>3. Что получает клиент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</w:tblPr>
      <w:tblGrid>
        <w:gridCol w:w="4933"/>
        <w:gridCol w:w="4933"/>
      </w:tblGrid>
      <w:tr>
        <w:tc>
          <w:tcPr>
            <w:tcW w:type="dxa" w:w="2948"/>
            <w:shd w:fill="F3F5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8"/>
              </w:rPr>
              <w:t>Выход Диагностики</w:t>
            </w:r>
          </w:p>
        </w:tc>
        <w:tc>
          <w:tcPr>
            <w:tcW w:type="dxa" w:w="6917"/>
            <w:shd w:fill="F3F5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8"/>
              </w:rPr>
              <w:t>Практический смысл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Карта проблемной единицы</w:t>
            </w:r>
          </w:p>
        </w:tc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жалоба переводится в проверяемую управленческую формулировку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Подтвержденные факты</w:t>
            </w:r>
          </w:p>
        </w:tc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выводы опираются на данные, интервью и документы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Карта разрывов контура</w:t>
            </w:r>
          </w:p>
        </w:tc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видно, где стратегия не связана с операциями и результатом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Условия перехода или отказа</w:t>
            </w:r>
          </w:p>
        </w:tc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понятно, нужна ли Сессия и что должно быть готово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Ограничения следующего шага</w:t>
            </w:r>
          </w:p>
        </w:tc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фиксируется, что нельзя обещать и запускать без оснований</w:t>
            </w:r>
          </w:p>
        </w:tc>
      </w:tr>
    </w:tbl>
    <w:p/>
    <w:p>
      <w:pPr>
        <w:pStyle w:val="Heading1"/>
      </w:pPr>
      <w:r>
        <w:t>4. Возможные вердикты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</w:tblPr>
      <w:tblGrid>
        <w:gridCol w:w="4933"/>
        <w:gridCol w:w="4933"/>
      </w:tblGrid>
      <w:tr>
        <w:tc>
          <w:tcPr>
            <w:tcW w:type="dxa" w:w="2891"/>
            <w:shd w:fill="F3F5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8"/>
              </w:rPr>
              <w:t>Вердикт</w:t>
            </w:r>
          </w:p>
        </w:tc>
        <w:tc>
          <w:tcPr>
            <w:tcW w:type="dxa" w:w="6973"/>
            <w:shd w:fill="F3F5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8"/>
              </w:rPr>
              <w:t>Что означает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переходить к Сессии / Go</w:t>
            </w:r>
          </w:p>
        </w:tc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есть подтвержденная проблемная единица, мандат, данные и 1-3 связанных триггера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переходить к Сессии с условиями</w:t>
            </w:r>
          </w:p>
        </w:tc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нужно закрыть условия по данным, участникам, границам или мандату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не переходить дальше сейчас / Hold</w:t>
            </w:r>
          </w:p>
        </w:tc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Сессия преждевременна, сначала нужны подготовительные действия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остановить / Stop</w:t>
            </w:r>
          </w:p>
        </w:tc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технология сейчас не нужна или невозможна в данном контуре</w:t>
            </w:r>
          </w:p>
        </w:tc>
      </w:tr>
    </w:tbl>
    <w:p/>
    <w:p>
      <w:pPr>
        <w:pStyle w:val="Heading1"/>
      </w:pPr>
      <w:r>
        <w:t>5. Формат, сроки и стоимость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268"/>
            <w:shd w:fill="F3F5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8"/>
              </w:rPr>
              <w:t>Формат</w:t>
            </w:r>
          </w:p>
        </w:tc>
        <w:tc>
          <w:tcPr>
            <w:tcW w:type="dxa" w:w="1701"/>
            <w:shd w:fill="F3F5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8"/>
              </w:rPr>
              <w:t>Срок</w:t>
            </w:r>
          </w:p>
        </w:tc>
        <w:tc>
          <w:tcPr>
            <w:tcW w:type="dxa" w:w="2268"/>
            <w:shd w:fill="F3F5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8"/>
              </w:rPr>
              <w:t>Стоимость</w:t>
            </w:r>
          </w:p>
        </w:tc>
        <w:tc>
          <w:tcPr>
            <w:tcW w:type="dxa" w:w="3628"/>
            <w:shd w:fill="F3F5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8"/>
              </w:rPr>
              <w:t>Когда подходит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Диагностика</w:t>
            </w:r>
          </w:p>
        </w:tc>
        <w:tc>
          <w:tcPr>
            <w:tcW w:type="dxa" w:w="246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7-10 рабочих дней</w:t>
            </w:r>
          </w:p>
        </w:tc>
        <w:tc>
          <w:tcPr>
            <w:tcW w:type="dxa" w:w="246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650 000 - 1 200 000 руб.</w:t>
            </w:r>
          </w:p>
        </w:tc>
        <w:tc>
          <w:tcPr>
            <w:tcW w:type="dxa" w:w="246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один бизнес-контур, до 2-3 ключевых триггеров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Расширенная Диагностика</w:t>
            </w:r>
          </w:p>
        </w:tc>
        <w:tc>
          <w:tcPr>
            <w:tcW w:type="dxa" w:w="246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10-15 рабочих дней</w:t>
            </w:r>
          </w:p>
        </w:tc>
        <w:tc>
          <w:tcPr>
            <w:tcW w:type="dxa" w:w="246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1 200 000 - 2 000 000 руб.</w:t>
            </w:r>
          </w:p>
        </w:tc>
        <w:tc>
          <w:tcPr>
            <w:tcW w:type="dxa" w:w="246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несколько функций, площадок, каналов или спорных версий данных</w:t>
            </w:r>
          </w:p>
        </w:tc>
      </w:tr>
    </w:tbl>
    <w:p/>
    <w:p>
      <w:pPr>
        <w:pStyle w:val="Heading1"/>
      </w:pPr>
      <w:r>
        <w:t>6. Что нужно от клиента</w:t>
      </w:r>
    </w:p>
    <w:p>
      <w:pPr>
        <w:spacing w:after="60"/>
        <w:ind w:left="255" w:hanging="142"/>
      </w:pPr>
      <w:r>
        <w:rPr>
          <w:rFonts w:ascii="Calibri" w:hAnsi="Calibri"/>
          <w:color w:val="1F4E79"/>
        </w:rPr>
        <w:t xml:space="preserve">- </w:t>
      </w:r>
      <w:r>
        <w:rPr>
          <w:rFonts w:ascii="Calibri" w:hAnsi="Calibri"/>
        </w:rPr>
        <w:t>лицо решения и владелец проблемы;</w:t>
      </w:r>
    </w:p>
    <w:p>
      <w:pPr>
        <w:spacing w:after="60"/>
        <w:ind w:left="255" w:hanging="142"/>
      </w:pPr>
      <w:r>
        <w:rPr>
          <w:rFonts w:ascii="Calibri" w:hAnsi="Calibri"/>
          <w:color w:val="1F4E79"/>
        </w:rPr>
        <w:t xml:space="preserve">- </w:t>
      </w:r>
      <w:r>
        <w:rPr>
          <w:rFonts w:ascii="Calibri" w:hAnsi="Calibri"/>
        </w:rPr>
        <w:t>доступ к ключевым данным, отчетам и документам;</w:t>
      </w:r>
    </w:p>
    <w:p>
      <w:pPr>
        <w:spacing w:after="60"/>
        <w:ind w:left="255" w:hanging="142"/>
      </w:pPr>
      <w:r>
        <w:rPr>
          <w:rFonts w:ascii="Calibri" w:hAnsi="Calibri"/>
          <w:color w:val="1F4E79"/>
        </w:rPr>
        <w:t xml:space="preserve">- </w:t>
      </w:r>
      <w:r>
        <w:rPr>
          <w:rFonts w:ascii="Calibri" w:hAnsi="Calibri"/>
        </w:rPr>
        <w:t>участие первого управленческого круга по затронутым функциям;</w:t>
      </w:r>
    </w:p>
    <w:p>
      <w:pPr>
        <w:spacing w:after="60"/>
        <w:ind w:left="255" w:hanging="142"/>
      </w:pPr>
      <w:r>
        <w:rPr>
          <w:rFonts w:ascii="Calibri" w:hAnsi="Calibri"/>
          <w:color w:val="1F4E79"/>
        </w:rPr>
        <w:t xml:space="preserve">- </w:t>
      </w:r>
      <w:r>
        <w:rPr>
          <w:rFonts w:ascii="Calibri" w:hAnsi="Calibri"/>
        </w:rPr>
        <w:t>готовность принять не только переход к Сессии / Go, но и решение не переходить дальше сейчас / Hold или остановить / Stop.</w:t>
      </w:r>
    </w:p>
    <w:p>
      <w:pPr>
        <w:pStyle w:val="Heading1"/>
      </w:pPr>
      <w:r>
        <w:t>7. Чего Диагностика не обещает</w:t>
      </w:r>
    </w:p>
    <w:p>
      <w:pPr>
        <w:spacing w:after="60"/>
        <w:ind w:left="255" w:hanging="142"/>
      </w:pPr>
      <w:r>
        <w:rPr>
          <w:rFonts w:ascii="Calibri" w:hAnsi="Calibri"/>
          <w:color w:val="1F4E79"/>
        </w:rPr>
        <w:t xml:space="preserve">- </w:t>
      </w:r>
      <w:r>
        <w:rPr>
          <w:rFonts w:ascii="Calibri" w:hAnsi="Calibri"/>
        </w:rPr>
        <w:t>готовую стратегию;</w:t>
      </w:r>
    </w:p>
    <w:p>
      <w:pPr>
        <w:spacing w:after="60"/>
        <w:ind w:left="255" w:hanging="142"/>
      </w:pPr>
      <w:r>
        <w:rPr>
          <w:rFonts w:ascii="Calibri" w:hAnsi="Calibri"/>
          <w:color w:val="1F4E79"/>
        </w:rPr>
        <w:t xml:space="preserve">- </w:t>
      </w:r>
      <w:r>
        <w:rPr>
          <w:rFonts w:ascii="Calibri" w:hAnsi="Calibri"/>
        </w:rPr>
        <w:t>бесплатный план внедрения;</w:t>
      </w:r>
    </w:p>
    <w:p>
      <w:pPr>
        <w:spacing w:after="60"/>
        <w:ind w:left="255" w:hanging="142"/>
      </w:pPr>
      <w:r>
        <w:rPr>
          <w:rFonts w:ascii="Calibri" w:hAnsi="Calibri"/>
          <w:color w:val="1F4E79"/>
        </w:rPr>
        <w:t xml:space="preserve">- </w:t>
      </w:r>
      <w:r>
        <w:rPr>
          <w:rFonts w:ascii="Calibri" w:hAnsi="Calibri"/>
        </w:rPr>
        <w:t>финансовый результат до проверки данных;</w:t>
      </w:r>
    </w:p>
    <w:p>
      <w:pPr>
        <w:spacing w:after="60"/>
        <w:ind w:left="255" w:hanging="142"/>
      </w:pPr>
      <w:r>
        <w:rPr>
          <w:rFonts w:ascii="Calibri" w:hAnsi="Calibri"/>
          <w:color w:val="1F4E79"/>
        </w:rPr>
        <w:t xml:space="preserve">- </w:t>
      </w:r>
      <w:r>
        <w:rPr>
          <w:rFonts w:ascii="Calibri" w:hAnsi="Calibri"/>
        </w:rPr>
        <w:t>автоматическую Сессию после Диагностики.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770"/>
        <w:sz w:val="16"/>
      </w:rPr>
      <w:t>Диагностика - обязательный платный вход. Сессия не продается автоматически.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770"/>
        <w:sz w:val="16"/>
      </w:rPr>
      <w:t>проSTRAнство | коммерческий пакет P3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365F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