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D78"/>
          <w:sz w:val="44"/>
        </w:rPr>
        <w:t>проSTRAнство</w:t>
      </w:r>
    </w:p>
    <w:p>
      <w:r>
        <w:rPr>
          <w:rFonts w:ascii="Calibri" w:hAnsi="Calibri"/>
          <w:color w:val="4B5563"/>
          <w:sz w:val="28"/>
        </w:rPr>
        <w:t>контентная архитектура v1.0</w:t>
      </w:r>
    </w:p>
    <w:p>
      <w:r>
        <w:rPr>
          <w:rFonts w:ascii="Calibri" w:hAnsi="Calibri"/>
          <w:color w:val="4B5563"/>
          <w:sz w:val="21"/>
        </w:rPr>
        <w:t>P1C: карта слоев, бренд-формула и защита смысла</w:t>
      </w:r>
    </w:p>
    <w:tbl>
      <w:tblPr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9900"/>
      </w:tblGrid>
      <w:tr>
        <w:tc>
          <w:tcPr>
            <w:tcW w:type="dxa" w:w="9900"/>
            <w:shd w:fill="F4F6F9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Назначение. </w:t>
            </w:r>
            <w:r>
              <w:t>Документ защищает проSTRAнство от подмены: стратегической сессией, аудитом, каталогом моделей, проектным офисом или внедрением всего сразу.</w:t>
            </w:r>
          </w:p>
        </w:tc>
      </w:tr>
    </w:tbl>
    <w:p/>
    <w:p>
      <w:pPr>
        <w:pStyle w:val="Heading1"/>
      </w:pPr>
      <w:r>
        <w:t>1. Карта видимости материалов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4600"/>
        <w:gridCol w:w="3400"/>
      </w:tblGrid>
      <w:tr>
        <w:tc>
          <w:tcPr>
            <w:tcW w:type="dxa" w:w="19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Стадия</w:t>
            </w:r>
          </w:p>
        </w:tc>
        <w:tc>
          <w:tcPr>
            <w:tcW w:type="dxa" w:w="46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Можно показывать</w:t>
            </w:r>
          </w:p>
        </w:tc>
        <w:tc>
          <w:tcPr>
            <w:tcW w:type="dxa" w:w="34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Нельзя показывать как основной продукт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До Диагностики</w:t>
            </w:r>
          </w:p>
        </w:tc>
        <w:tc>
          <w:tcPr>
            <w:tcW w:type="dxa" w:w="4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боль, честное обещание Диагностики, кейсы, рамки, стоимость и условия входа</w:t>
            </w:r>
          </w:p>
        </w:tc>
        <w:tc>
          <w:tcPr>
            <w:tcW w:type="dxa" w:w="3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каталог 100 моделей, ядро 115 как меню выбора, внутреннюю карту выбора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После оплаты Диагностики</w:t>
            </w:r>
          </w:p>
        </w:tc>
        <w:tc>
          <w:tcPr>
            <w:tcW w:type="dxa" w:w="4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маршрут Диагностики, список входных данных, формат вердикта</w:t>
            </w:r>
          </w:p>
        </w:tc>
        <w:tc>
          <w:tcPr>
            <w:tcW w:type="dxa" w:w="3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готовый план внедрения до диагноза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На Сессии</w:t>
            </w:r>
          </w:p>
        </w:tc>
        <w:tc>
          <w:tcPr>
            <w:tcW w:type="dxa" w:w="4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подтвержденные проблемные единицы, рабочий набор, мост, устав Спринта</w:t>
            </w:r>
          </w:p>
        </w:tc>
        <w:tc>
          <w:tcPr>
            <w:tcW w:type="dxa" w:w="3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полный каталог как меню выбора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В Спринте</w:t>
            </w:r>
          </w:p>
        </w:tc>
        <w:tc>
          <w:tcPr>
            <w:tcW w:type="dxa" w:w="4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владельцы, метрики, ритм, журнал решений, контроль 30-60-90</w:t>
            </w:r>
          </w:p>
        </w:tc>
        <w:tc>
          <w:tcPr>
            <w:tcW w:type="dxa" w:w="3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новые инструменты вне согласованного моста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В Сопровождении</w:t>
            </w:r>
          </w:p>
        </w:tc>
        <w:tc>
          <w:tcPr>
            <w:tcW w:type="dxa" w:w="4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устойчивость контура, откат, самостоятельность, следующий вердикт</w:t>
            </w:r>
          </w:p>
        </w:tc>
        <w:tc>
          <w:tcPr>
            <w:tcW w:type="dxa" w:w="3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сопровождение без объекта Спринта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Внутреннее ядро</w:t>
            </w:r>
          </w:p>
        </w:tc>
        <w:tc>
          <w:tcPr>
            <w:tcW w:type="dxa" w:w="4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только команда технологии</w:t>
            </w:r>
          </w:p>
        </w:tc>
        <w:tc>
          <w:tcPr>
            <w:tcW w:type="dxa" w:w="3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показывать клиенту как витрину продукта</w:t>
            </w:r>
          </w:p>
        </w:tc>
      </w:tr>
    </w:tbl>
    <w:p/>
    <w:p>
      <w:pPr>
        <w:pStyle w:val="Heading1"/>
      </w:pPr>
      <w:r>
        <w:t>2. Бренд-формула</w:t>
      </w:r>
    </w:p>
    <w:tbl>
      <w:tblPr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9900"/>
      </w:tblGrid>
      <w:tr>
        <w:tc>
          <w:tcPr>
            <w:tcW w:type="dxa" w:w="9900"/>
            <w:shd w:fill="F4F6F9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Каноническая формула. </w:t>
            </w:r>
            <w:r>
              <w:t>проSTRAнство помогает компании не выбирать из сотни стратегических моделей, а получить узкий набор решений под доказанную управленческую задачу и сразу связать его с операционными инструментами, владельцами, метриками и Спринтом 30-60-90.</w:t>
            </w:r>
          </w:p>
        </w:tc>
      </w:tr>
    </w:tbl>
    <w:p/>
    <w:p>
      <w:pPr>
        <w:pStyle w:val="Heading1"/>
      </w:pPr>
      <w:r>
        <w:t>3. Анти-позиционирование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3300"/>
        <w:gridCol w:w="6600"/>
      </w:tblGrid>
      <w:tr>
        <w:tc>
          <w:tcPr>
            <w:tcW w:type="dxa" w:w="33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проSTRAнство не является</w:t>
            </w:r>
          </w:p>
        </w:tc>
        <w:tc>
          <w:tcPr>
            <w:tcW w:type="dxa" w:w="66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Почему это важно</w:t>
            </w:r>
          </w:p>
        </w:tc>
      </w:tr>
      <w:tr>
        <w:tc>
          <w:tcPr>
            <w:tcW w:type="dxa" w:w="3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стратегической сессией</w:t>
            </w:r>
          </w:p>
        </w:tc>
        <w:tc>
          <w:tcPr>
            <w:tcW w:type="dxa" w:w="6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Сессия начинается только после Диагностики и ведет к Спринту</w:t>
            </w:r>
          </w:p>
        </w:tc>
      </w:tr>
      <w:tr>
        <w:tc>
          <w:tcPr>
            <w:tcW w:type="dxa" w:w="3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аудитом</w:t>
            </w:r>
          </w:p>
        </w:tc>
        <w:tc>
          <w:tcPr>
            <w:tcW w:type="dxa" w:w="6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результат не отчет ради отчета, а решение о следующем действии</w:t>
            </w:r>
          </w:p>
        </w:tc>
      </w:tr>
      <w:tr>
        <w:tc>
          <w:tcPr>
            <w:tcW w:type="dxa" w:w="3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консалтингом по всем вопросам</w:t>
            </w:r>
          </w:p>
        </w:tc>
        <w:tc>
          <w:tcPr>
            <w:tcW w:type="dxa" w:w="6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технология работает с доказанной управленческой задачей</w:t>
            </w:r>
          </w:p>
        </w:tc>
      </w:tr>
      <w:tr>
        <w:tc>
          <w:tcPr>
            <w:tcW w:type="dxa" w:w="3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внедрением корпоративных систем / ERP/CRM</w:t>
            </w:r>
          </w:p>
        </w:tc>
        <w:tc>
          <w:tcPr>
            <w:tcW w:type="dxa" w:w="6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информационные технологии / IT могут быть частью контура, но не заменяют технологию</w:t>
            </w:r>
          </w:p>
        </w:tc>
      </w:tr>
      <w:tr>
        <w:tc>
          <w:tcPr>
            <w:tcW w:type="dxa" w:w="3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каталогом фреймворков</w:t>
            </w:r>
          </w:p>
        </w:tc>
        <w:tc>
          <w:tcPr>
            <w:tcW w:type="dxa" w:w="6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модели и инструменты выбираются экспертно, а не предлагаются как меню</w:t>
            </w:r>
          </w:p>
        </w:tc>
      </w:tr>
      <w:tr>
        <w:tc>
          <w:tcPr>
            <w:tcW w:type="dxa" w:w="3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мотивационным воркшопом</w:t>
            </w:r>
          </w:p>
        </w:tc>
        <w:tc>
          <w:tcPr>
            <w:tcW w:type="dxa" w:w="6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решения привязаны к фактам, владельцам, метрикам и ритму</w:t>
            </w:r>
          </w:p>
        </w:tc>
      </w:tr>
      <w:tr>
        <w:tc>
          <w:tcPr>
            <w:tcW w:type="dxa" w:w="3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проектным офисом</w:t>
            </w:r>
          </w:p>
        </w:tc>
        <w:tc>
          <w:tcPr>
            <w:tcW w:type="dxa" w:w="6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проSTRAнство создает контур решения, а не управляет всеми проектами клиента</w:t>
            </w:r>
          </w:p>
        </w:tc>
      </w:tr>
    </w:tbl>
    <w:p/>
    <w:p>
      <w:pPr>
        <w:pStyle w:val="Heading1"/>
      </w:pPr>
      <w:r>
        <w:t>4. Языковое правило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4200"/>
        <w:gridCol w:w="5700"/>
      </w:tblGrid>
      <w:tr>
        <w:tc>
          <w:tcPr>
            <w:tcW w:type="dxa" w:w="42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Правило</w:t>
            </w:r>
          </w:p>
        </w:tc>
        <w:tc>
          <w:tcPr>
            <w:tcW w:type="dxa" w:w="57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Пример</w:t>
            </w:r>
          </w:p>
        </w:tc>
      </w:tr>
      <w:tr>
        <w:tc>
          <w:tcPr>
            <w:tcW w:type="dxa" w:w="4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русский термин первым</w:t>
            </w:r>
          </w:p>
        </w:tc>
        <w:tc>
          <w:tcPr>
            <w:tcW w:type="dxa" w:w="5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проблемная единица / Problem Unit</w:t>
            </w:r>
          </w:p>
        </w:tc>
      </w:tr>
      <w:tr>
        <w:tc>
          <w:tcPr>
            <w:tcW w:type="dxa" w:w="4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английский только через /, если нужен как рабочий синоним</w:t>
            </w:r>
          </w:p>
        </w:tc>
        <w:tc>
          <w:tcPr>
            <w:tcW w:type="dxa" w:w="5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мост / Bridge</w:t>
            </w:r>
          </w:p>
        </w:tc>
      </w:tr>
      <w:tr>
        <w:tc>
          <w:tcPr>
            <w:tcW w:type="dxa" w:w="4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после первого пояснения использовать русский термин</w:t>
            </w:r>
          </w:p>
        </w:tc>
        <w:tc>
          <w:tcPr>
            <w:tcW w:type="dxa" w:w="5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далее: проблемная единица, мост, вердикт</w:t>
            </w:r>
          </w:p>
        </w:tc>
      </w:tr>
      <w:tr>
        <w:tc>
          <w:tcPr>
            <w:tcW w:type="dxa" w:w="4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не оставлять англоязычные статусы без русской нормы</w:t>
            </w:r>
          </w:p>
        </w:tc>
        <w:tc>
          <w:tcPr>
            <w:tcW w:type="dxa" w:w="5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переходить к Сессии / Go, удержать / Hold, остановить / Stop</w:t>
            </w:r>
          </w:p>
        </w:tc>
      </w:tr>
      <w:tr>
        <w:tc>
          <w:tcPr>
            <w:tcW w:type="dxa" w:w="4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технический префикс файлов не является публичным названием</w:t>
            </w:r>
          </w:p>
        </w:tc>
        <w:tc>
          <w:tcPr>
            <w:tcW w:type="dxa" w:w="5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proSTRANSTVO_ только в именах файлов</w:t>
            </w:r>
          </w:p>
        </w:tc>
      </w:tr>
    </w:tbl>
    <w:p/>
    <w:p>
      <w:pPr>
        <w:pStyle w:val="Heading1"/>
      </w:pPr>
      <w:r>
        <w:t>5. Правило ядра 115</w:t>
      </w:r>
    </w:p>
    <w:tbl>
      <w:tblPr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9900"/>
      </w:tblGrid>
      <w:tr>
        <w:tc>
          <w:tcPr>
            <w:tcW w:type="dxa" w:w="9900"/>
            <w:shd w:fill="F4F6F9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Запрет. </w:t>
            </w:r>
            <w:r>
              <w:t>Уникальное инструментальное ядро 115 не показывается клиенту как меню выбора. Можно показывать принцип работы, примеры и узкий выбранный набор, но нельзя создавать ощущение: выберите инструменты из каталога.</w:t>
            </w:r>
          </w:p>
        </w:tc>
      </w:tr>
    </w:tbl>
    <w:p/>
    <w:p>
      <w:pPr>
        <w:pStyle w:val="Heading1"/>
      </w:pPr>
      <w:r>
        <w:t>6. Что можно отдавать маркетингу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4800"/>
        <w:gridCol w:w="5100"/>
      </w:tblGrid>
      <w:tr>
        <w:tc>
          <w:tcPr>
            <w:tcW w:type="dxa" w:w="48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Можно</w:t>
            </w:r>
          </w:p>
        </w:tc>
        <w:tc>
          <w:tcPr>
            <w:tcW w:type="dxa" w:w="51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Нельзя до авторской приемки</w:t>
            </w:r>
          </w:p>
        </w:tc>
      </w:tr>
      <w:tr>
        <w:tc>
          <w:tcPr>
            <w:tcW w:type="dxa" w:w="4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бренд-формулу</w:t>
            </w:r>
          </w:p>
        </w:tc>
        <w:tc>
          <w:tcPr>
            <w:tcW w:type="dxa" w:w="5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непроверенную формулу ядра</w:t>
            </w:r>
          </w:p>
        </w:tc>
      </w:tr>
      <w:tr>
        <w:tc>
          <w:tcPr>
            <w:tcW w:type="dxa" w:w="4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объяснение Диагностики</w:t>
            </w:r>
          </w:p>
        </w:tc>
        <w:tc>
          <w:tcPr>
            <w:tcW w:type="dxa" w:w="5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обещание Сессии без Диагностики</w:t>
            </w:r>
          </w:p>
        </w:tc>
      </w:tr>
      <w:tr>
        <w:tc>
          <w:tcPr>
            <w:tcW w:type="dxa" w:w="4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кейсовые маршруты</w:t>
            </w:r>
          </w:p>
        </w:tc>
        <w:tc>
          <w:tcPr>
            <w:tcW w:type="dxa" w:w="5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кейсы как доказательство универсального результата</w:t>
            </w:r>
          </w:p>
        </w:tc>
      </w:tr>
      <w:tr>
        <w:tc>
          <w:tcPr>
            <w:tcW w:type="dxa" w:w="4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анти-позиционирование</w:t>
            </w:r>
          </w:p>
        </w:tc>
        <w:tc>
          <w:tcPr>
            <w:tcW w:type="dxa" w:w="5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унижение конкурентов или спор с рынком</w:t>
            </w:r>
          </w:p>
        </w:tc>
      </w:tr>
      <w:tr>
        <w:tc>
          <w:tcPr>
            <w:tcW w:type="dxa" w:w="4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структуру сайта после P1C</w:t>
            </w:r>
          </w:p>
        </w:tc>
        <w:tc>
          <w:tcPr>
            <w:tcW w:type="dxa" w:w="5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внутреннюю инженерию и полный каталог моделей</w:t>
            </w:r>
          </w:p>
        </w:tc>
      </w:tr>
    </w:tbl>
    <w:p/>
    <w:sectPr w:rsidR="00FC693F" w:rsidRPr="0006063C" w:rsidSect="00034616">
      <w:pgSz w:w="11909" w:h="16834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proSTRANSTVO Контентная Архитектура v1.0.docx</dc:title>
  <dc:subject>P1C content architecture</dc:subject>
  <dc:creator>проSTRAнство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