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0"/>
        </w:rPr>
        <w:t>Одностраничник для CEO / собственника v1.0</w:t>
      </w:r>
    </w:p>
    <w:p>
      <w:r>
        <w:rPr>
          <w:rFonts w:ascii="Calibri" w:hAnsi="Calibri"/>
          <w:color w:val="5B6770"/>
          <w:sz w:val="21"/>
        </w:rPr>
        <w:t>Короткая внешняя рамка: когда покупать Диагностику проSTRAнства.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8"/>
              </w:rPr>
              <w:t>Мини-релиз v0.4.1. Документ закрывает релизный хвост и не переписывает фундамент технологии.</w:t>
            </w:r>
          </w:p>
        </w:tc>
      </w:tr>
    </w:tbl>
    <w:p/>
    <w:p>
      <w:pPr>
        <w:pStyle w:val="Heading1"/>
      </w:pPr>
      <w:r>
        <w:t>1. Когда нужно проSTRAнство</w:t>
      </w:r>
    </w:p>
    <w:p>
      <w:r>
        <w:t>проSTRAнство нужно, когда стратегия, операции и результат перестали работать как единый контур. Первый шаг - платная Диагностика, а не Сессия.</w:t>
      </w:r>
    </w:p>
    <w:p>
      <w:pPr>
        <w:pStyle w:val="Heading1"/>
      </w:pPr>
      <w:r>
        <w:t>2. Какие симптомы являются поводом для Диагностики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стратегия есть, но исполнение не меняется;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инициатив много, но фокуса и владельцев нет;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маржа, деньги, клиент, скорость или качество проседают;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функции спорят разными версиями правды;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решения принимаются, но не доходят до метрик и ритма.</w:t>
      </w:r>
    </w:p>
    <w:p>
      <w:pPr>
        <w:pStyle w:val="Heading1"/>
      </w:pPr>
      <w:r>
        <w:t>3. Что вы получите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4989"/>
        <w:gridCol w:w="4989"/>
      </w:tblGrid>
      <w:tr>
        <w:tc>
          <w:tcPr>
            <w:tcW w:type="dxa" w:w="340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Выход Диагностики</w:t>
            </w:r>
          </w:p>
        </w:tc>
        <w:tc>
          <w:tcPr>
            <w:tcW w:type="dxa" w:w="6576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Что это дает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Карта проблемной единицы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жалоба переводится в проверяемую управленческую задачу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Подтвержденные факты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меньше споров и личных версий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Карта разрывов текущего контура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видно, где стратегия не связана с операциями и результатом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Условия перехода или отказа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понятно, нужна ли Сессия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Ограничения следующего шага</w:t>
            </w:r>
          </w:p>
        </w:tc>
        <w:tc>
          <w:tcPr>
            <w:tcW w:type="dxa" w:w="6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запускаются лишние действия</w:t>
            </w:r>
          </w:p>
        </w:tc>
      </w:tr>
    </w:tbl>
    <w:p/>
    <w:p>
      <w:pPr>
        <w:pStyle w:val="Heading1"/>
      </w:pPr>
      <w:r>
        <w:t>4. Чего мы не обещаем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готовую стратегию после первого разговора;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бесплатный план внедрения;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автоматическую Сессию;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финансовый результат до проверки данных;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выбор из каталога моделей.</w:t>
      </w:r>
    </w:p>
    <w:p>
      <w:pPr>
        <w:pStyle w:val="Heading1"/>
      </w:pPr>
      <w:r>
        <w:t>5. Следующий шаг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Вход. </w:t>
            </w:r>
            <w:r>
              <w:rPr>
                <w:rFonts w:ascii="Calibri" w:hAnsi="Calibri"/>
                <w:color w:val="1F2933"/>
                <w:sz w:val="18"/>
              </w:rPr>
              <w:t>Квалификационный разговор не решает проблему бесплатно. Он проверяет право входа в платную Диагностику: боль, мандат, данные, участники и готовность к фактам.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v0.4.1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Calibri" w:hAnsi="Calibr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