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8"/>
        </w:rPr>
        <w:t>проSTRAнство</w:t>
      </w:r>
    </w:p>
    <w:p>
      <w:r>
        <w:rPr>
          <w:rFonts w:ascii="Calibri" w:hAnsi="Calibri"/>
          <w:color w:val="4B5563"/>
          <w:sz w:val="28"/>
        </w:rPr>
        <w:t>операционная система технологии v1.0</w:t>
      </w:r>
    </w:p>
    <w:p>
      <w:r>
        <w:rPr>
          <w:rFonts w:ascii="Calibri" w:hAnsi="Calibri"/>
          <w:color w:val="4B5563"/>
          <w:sz w:val="21"/>
        </w:rPr>
        <w:t>P1B: главный источник правды, сценарии проведения, доказательность, переходы и стоп-линии ядра</w:t>
      </w:r>
    </w:p>
    <w:tbl>
      <w:tblPr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9900"/>
      </w:tblGrid>
      <w:tr>
        <w:tc>
          <w:tcPr>
            <w:tcW w:type="dxa" w:w="9900"/>
            <w:shd w:fill="F4F6F9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Статус документа. </w:t>
            </w:r>
            <w:r>
              <w:t>Это главный источник правды P1B. Он не переписывает фундамент технологии, а делает ее проводимой: фиксирует маршрут, сценарии 4 продуктов, доказательность, переходы и стоп-линии.</w:t>
            </w:r>
          </w:p>
        </w:tc>
      </w:tr>
    </w:tbl>
    <w:p/>
    <w:p>
      <w:pPr>
        <w:pStyle w:val="Heading1"/>
      </w:pPr>
      <w:r>
        <w:t>1. Неприкосновенное ядро</w:t>
      </w:r>
    </w:p>
    <w:p>
      <w:r>
        <w:t>проSTRAнство - экспертная система, которая формализует управленческую проблему как проблемную единицу / Problem Unit, по триггерам выбирает нужные стратегические фреймворки, через мост / Bridge связывает стратегический выход с 3-5 операционными инструментами, владельцами, метриками и Спринтом 30-60-90.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2500"/>
        <w:gridCol w:w="7400"/>
      </w:tblGrid>
      <w:tr>
        <w:tc>
          <w:tcPr>
            <w:tcW w:type="dxa" w:w="2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Что фиксируем</w:t>
            </w:r>
          </w:p>
        </w:tc>
        <w:tc>
          <w:tcPr>
            <w:tcW w:type="dxa" w:w="74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Правило</w:t>
            </w:r>
          </w:p>
        </w:tc>
      </w:tr>
      <w:tr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Фундамент</w:t>
            </w:r>
          </w:p>
        </w:tc>
        <w:tc>
          <w:tcPr>
            <w:tcW w:type="dxa" w:w="7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переписывать ядро технологии в рамках P1B. Улучшать можно проводимость, проверяемость и язык.</w:t>
            </w:r>
          </w:p>
        </w:tc>
      </w:tr>
      <w:tr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Инструменты</w:t>
            </w:r>
          </w:p>
        </w:tc>
        <w:tc>
          <w:tcPr>
            <w:tcW w:type="dxa" w:w="7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добавлять новые модели и инструменты. Использовать библиотеку 100 стратегических фреймворков и уникальное инструментальное ядро 115 после дедубликации.</w:t>
            </w:r>
          </w:p>
        </w:tc>
      </w:tr>
      <w:tr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Искусственный интеллект / AI</w:t>
            </w:r>
          </w:p>
        </w:tc>
        <w:tc>
          <w:tcPr>
            <w:tcW w:type="dxa" w:w="7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выделять как отдельную функцию. Учитывать только внутри информационных технологий / IT при наличии конкретного инструмента или сценария.</w:t>
            </w:r>
          </w:p>
        </w:tc>
      </w:tr>
      <w:tr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Клиентский слой</w:t>
            </w:r>
          </w:p>
        </w:tc>
        <w:tc>
          <w:tcPr>
            <w:tcW w:type="dxa" w:w="7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показывать каталог моделей и инструментальное ядро как меню. Клиент видит диагноз, узкий набор решений, мост, владельцев, метрики и следующий шаг.</w:t>
            </w:r>
          </w:p>
        </w:tc>
      </w:tr>
      <w:tr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Изменение ядра</w:t>
            </w:r>
          </w:p>
        </w:tc>
        <w:tc>
          <w:tcPr>
            <w:tcW w:type="dxa" w:w="7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Любая попытка изменить ядро проходит цепочку: проблема -&gt; доказательство -&gt; риск -&gt; альтернатива -&gt; авторская приемка / Go.</w:t>
            </w:r>
          </w:p>
        </w:tc>
      </w:tr>
    </w:tbl>
    <w:p/>
    <w:p>
      <w:pPr>
        <w:pStyle w:val="Heading1"/>
      </w:pPr>
      <w:r>
        <w:t>2. Маршрут технологии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2600"/>
        <w:gridCol w:w="2100"/>
      </w:tblGrid>
      <w:tr>
        <w:tc>
          <w:tcPr>
            <w:tcW w:type="dxa" w:w="1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Шаг</w:t>
            </w:r>
          </w:p>
        </w:tc>
        <w:tc>
          <w:tcPr>
            <w:tcW w:type="dxa" w:w="3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Что происходит</w:t>
            </w:r>
          </w:p>
        </w:tc>
        <w:tc>
          <w:tcPr>
            <w:tcW w:type="dxa" w:w="2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Обязательный выход</w:t>
            </w:r>
          </w:p>
        </w:tc>
        <w:tc>
          <w:tcPr>
            <w:tcW w:type="dxa" w:w="2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Стоп-условие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1. Жалоба клиента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Фиксируются симптомы, но они не принимаются за диагноз.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первичная карта симптомов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нет управленческой боли или права говорить с владельцем проблемы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2. Проблемная единица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Симптом переводится в стандартизированную запись: разрыв, факт, результат, владелец, контур.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карта проблемной единицы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нет факта, метрики или влияния на результат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3. Диагностика контура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Проверяется, что уже есть, что работает, что разорвано, что не трогать и что пересобрать.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карта текущего контура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данные скрываются или нет мандата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4. Триггеры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Проблемные единицы связываются с триггерами и наборами S/O/X.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ранжированный список триггеров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триггеры не подтверждены фактами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5. Решение по числу Сессий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Триггеры ранжируются и группируются: 1 Сессия не более чем по 1-3 связанным триггерам.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карта группировки Сессий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все триггеры пытаются упаковать в одну шумную Сессию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6. Сессия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Выбираются 5-7 стратегических фреймворков и 3-5 операционных инструментов через мост.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рабочий набор и карта моста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нет согласия на владельцев и метрики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7. Спринт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3-5 инструментов запускаются в ритме 30-60-90.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устав Спринта, базовая линия, ритм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нет владельцев, данных или права действия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8. Сопровождение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Проверяется устойчивость активного контура после Спринта.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вердикт сопровождения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нет объекта сопровождения после Спринта</w:t>
            </w:r>
          </w:p>
        </w:tc>
      </w:tr>
    </w:tbl>
    <w:p/>
    <w:p>
      <w:pPr>
        <w:pStyle w:val="Heading1"/>
      </w:pPr>
      <w:r>
        <w:t>3. Проводимые продукты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300"/>
        <w:gridCol w:w="1700"/>
        <w:gridCol w:w="2100"/>
        <w:gridCol w:w="2100"/>
        <w:gridCol w:w="1450"/>
        <w:gridCol w:w="1250"/>
      </w:tblGrid>
      <w:tr>
        <w:tc>
          <w:tcPr>
            <w:tcW w:type="dxa" w:w="13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1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Роль</w:t>
            </w:r>
          </w:p>
        </w:tc>
        <w:tc>
          <w:tcPr>
            <w:tcW w:type="dxa" w:w="2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Вход</w:t>
            </w:r>
          </w:p>
        </w:tc>
        <w:tc>
          <w:tcPr>
            <w:tcW w:type="dxa" w:w="2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Выход</w:t>
            </w:r>
          </w:p>
        </w:tc>
        <w:tc>
          <w:tcPr>
            <w:tcW w:type="dxa" w:w="145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Вердикты</w:t>
            </w:r>
          </w:p>
        </w:tc>
        <w:tc>
          <w:tcPr>
            <w:tcW w:type="dxa" w:w="125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Граница</w:t>
            </w:r>
          </w:p>
        </w:tc>
      </w:tr>
      <w:tr>
        <w:tc>
          <w:tcPr>
            <w:tcW w:type="dxa" w:w="1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Диагностика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Платный вход, отсев, первичный диагноз.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данные, интервью, документы, управленческая жалоба, право проверить контур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карта проблемной единицы; карта текущего контура; матрица доказательности; вердикт</w:t>
            </w:r>
          </w:p>
        </w:tc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запускать; запускать с условиями; удержать; остановить</w:t>
            </w:r>
          </w:p>
        </w:tc>
        <w:tc>
          <w:tcPr>
            <w:tcW w:type="dxa" w:w="12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Сессия не назначается автоматически. Переход только при подтвержденном диагнозе и мандате.</w:t>
            </w:r>
          </w:p>
        </w:tc>
      </w:tr>
      <w:tr>
        <w:tc>
          <w:tcPr>
            <w:tcW w:type="dxa" w:w="1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Сессия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Финальное вскрытие и синхронизация ресурсов.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диагностический вердикт, 1-3 связанных триггера, подтвержденные проблемные единицы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5-7 стратегических фреймворков; 3-5 операционных инструментов; мост; устав Спринта</w:t>
            </w:r>
          </w:p>
        </w:tc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запускать Спринт; удержать; вернуть в Диагностику; остановить</w:t>
            </w:r>
          </w:p>
        </w:tc>
        <w:tc>
          <w:tcPr>
            <w:tcW w:type="dxa" w:w="12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Сессия не является мозговым штурмом и не начинает с каталога инструментов.</w:t>
            </w:r>
          </w:p>
        </w:tc>
      </w:tr>
      <w:tr>
        <w:tc>
          <w:tcPr>
            <w:tcW w:type="dxa" w:w="1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Спринт 30-60-90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Проверка выбранного контура в действии.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карта моста, устав Спринта, владельцы, базовая линия, данные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ритм, журнал решений, метрики, контроль 30/60/90, вердикт Спринта</w:t>
            </w:r>
          </w:p>
        </w:tc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масштабировать; продолжить; пересобрать; остановить; передать клиенту</w:t>
            </w:r>
          </w:p>
        </w:tc>
        <w:tc>
          <w:tcPr>
            <w:tcW w:type="dxa" w:w="12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Запускать не более 3-5 инструментов, иначе спринт распадается на список инициатив.</w:t>
            </w:r>
          </w:p>
        </w:tc>
      </w:tr>
      <w:tr>
        <w:tc>
          <w:tcPr>
            <w:tcW w:type="dxa" w:w="1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Сопровождение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Поддержка активного контура после Спринта.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активный контур, владельцы, ритм, метрики, итог Спринта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проверка устойчивости, отката, самостоятельности, следующий вердикт</w:t>
            </w:r>
          </w:p>
        </w:tc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продолжить; сократить участие; новый Спринт; пересобрать; выйти</w:t>
            </w:r>
          </w:p>
        </w:tc>
        <w:tc>
          <w:tcPr>
            <w:tcW w:type="dxa" w:w="12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Сопровождение не продается без объекта, созданного в Спринте.</w:t>
            </w:r>
          </w:p>
        </w:tc>
      </w:tr>
    </w:tbl>
    <w:p/>
    <w:p>
      <w:pPr>
        <w:pStyle w:val="Heading1"/>
      </w:pPr>
      <w:r>
        <w:t>4. Диагностика как платный вход</w:t>
      </w:r>
    </w:p>
    <w:p>
      <w:r>
        <w:t>Диагностика не является бесплатным пресейлом и не выдает готовый план внедрения. Ее ценность в том, что она проверяет реальное состояние управленческого контура и может честно остановить дальнейшую работу, если технология сейчас не нужна или невозможна.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5600"/>
        <w:gridCol w:w="2600"/>
      </w:tblGrid>
      <w:tr>
        <w:tc>
          <w:tcPr>
            <w:tcW w:type="dxa" w:w="1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Состояние элемента</w:t>
            </w:r>
          </w:p>
        </w:tc>
        <w:tc>
          <w:tcPr>
            <w:tcW w:type="dxa" w:w="5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Как определить</w:t>
            </w:r>
          </w:p>
        </w:tc>
        <w:tc>
          <w:tcPr>
            <w:tcW w:type="dxa" w:w="2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Решение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Есть</w:t>
            </w:r>
          </w:p>
        </w:tc>
        <w:tc>
          <w:tcPr>
            <w:tcW w:type="dxa" w:w="5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Есть документ, метрика, процесс, владелец или регулярное действие. Наличие фиксируется, но еще не считается работоспособностью.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описать как элемент контура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Работает</w:t>
            </w:r>
          </w:p>
        </w:tc>
        <w:tc>
          <w:tcPr>
            <w:tcW w:type="dxa" w:w="5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Элемент влияет на решение, имеет владельца, живет в ритме и подтверждается фактом или метрикой.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ломать; использовать как опору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Разорвано</w:t>
            </w:r>
          </w:p>
        </w:tc>
        <w:tc>
          <w:tcPr>
            <w:tcW w:type="dxa" w:w="5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Элемент существует, но не связан с решением, владельцем, метрикой, функцией или стратегическим смыслом.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вынести в проблемную единицу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трогать</w:t>
            </w:r>
          </w:p>
        </w:tc>
        <w:tc>
          <w:tcPr>
            <w:tcW w:type="dxa" w:w="5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Элемент работает, его изменение создает риск выше ожидаемой пользы или не относится к текущей проблеме.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зафиксировать как ограничение</w:t>
            </w:r>
          </w:p>
        </w:tc>
      </w:tr>
      <w:tr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Пересобрать</w:t>
            </w:r>
          </w:p>
        </w:tc>
        <w:tc>
          <w:tcPr>
            <w:tcW w:type="dxa" w:w="5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Элемент влияет на результат, но не работает или разорван, и у клиента есть мандат на изменение.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передать в Сессию или подготовительный Hold</w:t>
            </w:r>
          </w:p>
        </w:tc>
      </w:tr>
    </w:tbl>
    <w:p/>
    <w:p>
      <w:pPr>
        <w:pStyle w:val="Heading1"/>
      </w:pPr>
      <w:r>
        <w:t>5. Шкала вердикта Диагностики</w:t>
      </w:r>
    </w:p>
    <w:p>
      <w:r>
        <w:t>Вердикт остается решением человека, но должен опираться на расчет: 6 критериев, каждый оценивается от 0 до 3 баллов. Максимум - 18 баллов.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1900"/>
        <w:gridCol w:w="1900"/>
        <w:gridCol w:w="1900"/>
      </w:tblGrid>
      <w:tr>
        <w:tc>
          <w:tcPr>
            <w:tcW w:type="dxa" w:w="23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Критерий</w:t>
            </w:r>
          </w:p>
        </w:tc>
        <w:tc>
          <w:tcPr>
            <w:tcW w:type="dxa" w:w="1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0</w:t>
            </w:r>
          </w:p>
        </w:tc>
        <w:tc>
          <w:tcPr>
            <w:tcW w:type="dxa" w:w="1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1</w:t>
            </w:r>
          </w:p>
        </w:tc>
        <w:tc>
          <w:tcPr>
            <w:tcW w:type="dxa" w:w="1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2</w:t>
            </w:r>
          </w:p>
        </w:tc>
        <w:tc>
          <w:tcPr>
            <w:tcW w:type="dxa" w:w="1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Факты и данные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нет данных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данные спорные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данные частично сходятся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достаточно фактов для вывода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Острота проблемы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нет влияния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локальный дискомфорт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заметное влияние на результат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существенный риск/ущерб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Мандат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нет лица решения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мандат косвенный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мандат ограничен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есть владелец решения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Владельцы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нет владельцев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владельцы названы формально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часть владельцев готова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владельцы подтверждены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Состояние контура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ничего нет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есть фрагменты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есть разрывы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понятно, что работает и что пересобрать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Готовность к Сессии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Сессия невозможна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нужна подготовка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возможна с условиями</w:t>
            </w:r>
          </w:p>
        </w:tc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6"/>
              </w:rPr>
              <w:t>можно запускать</w:t>
            </w:r>
          </w:p>
        </w:tc>
      </w:tr>
    </w:tbl>
    <w:p/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5800"/>
      </w:tblGrid>
      <w:tr>
        <w:tc>
          <w:tcPr>
            <w:tcW w:type="dxa" w:w="1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Сумма</w:t>
            </w:r>
          </w:p>
        </w:tc>
        <w:tc>
          <w:tcPr>
            <w:tcW w:type="dxa" w:w="2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Вердикт</w:t>
            </w:r>
          </w:p>
        </w:tc>
        <w:tc>
          <w:tcPr>
            <w:tcW w:type="dxa" w:w="58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Что делать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15-18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запускать / Go</w:t>
            </w:r>
          </w:p>
        </w:tc>
        <w:tc>
          <w:tcPr>
            <w:tcW w:type="dxa" w:w="5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готовить Сессию по 1-3 связанным триггерам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12-14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запускать с условиями / Conditional Go</w:t>
            </w:r>
          </w:p>
        </w:tc>
        <w:tc>
          <w:tcPr>
            <w:tcW w:type="dxa" w:w="5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сначала закрыть условия: данные, мандат, участники или границы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7-11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удержать / Hold</w:t>
            </w:r>
          </w:p>
        </w:tc>
        <w:tc>
          <w:tcPr>
            <w:tcW w:type="dxa" w:w="5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проводить Сессию; вернуть клиенту перечень дефицитов готовности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0-6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остановить / Stop</w:t>
            </w:r>
          </w:p>
        </w:tc>
        <w:tc>
          <w:tcPr>
            <w:tcW w:type="dxa" w:w="5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технология сейчас не нужна или невозможна в этом контуре</w:t>
            </w:r>
          </w:p>
        </w:tc>
      </w:tr>
    </w:tbl>
    <w:p/>
    <w:p>
      <w:pPr>
        <w:pStyle w:val="Heading1"/>
      </w:pPr>
      <w:r>
        <w:t>6. Проблемная единица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4900"/>
        <w:gridCol w:w="3100"/>
      </w:tblGrid>
      <w:tr>
        <w:tc>
          <w:tcPr>
            <w:tcW w:type="dxa" w:w="1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4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Смысл</w:t>
            </w:r>
          </w:p>
        </w:tc>
        <w:tc>
          <w:tcPr>
            <w:tcW w:type="dxa" w:w="3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Проверка качества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Формулировка</w:t>
            </w:r>
          </w:p>
        </w:tc>
        <w:tc>
          <w:tcPr>
            <w:tcW w:type="dxa" w:w="4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что именно разорвано или не работает</w:t>
            </w:r>
          </w:p>
        </w:tc>
        <w:tc>
          <w:tcPr>
            <w:tcW w:type="dxa" w:w="3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тема и не жалоба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Факт</w:t>
            </w:r>
          </w:p>
        </w:tc>
        <w:tc>
          <w:tcPr>
            <w:tcW w:type="dxa" w:w="4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какое наблюдение или данные подтверждают проблему</w:t>
            </w:r>
          </w:p>
        </w:tc>
        <w:tc>
          <w:tcPr>
            <w:tcW w:type="dxa" w:w="3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есть источник и дата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Результат</w:t>
            </w:r>
          </w:p>
        </w:tc>
        <w:tc>
          <w:tcPr>
            <w:tcW w:type="dxa" w:w="4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какой результат портится: маржа, деньги, клиент, скорость, качество, риск</w:t>
            </w:r>
          </w:p>
        </w:tc>
        <w:tc>
          <w:tcPr>
            <w:tcW w:type="dxa" w:w="3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связь с бизнес-результатом очевидна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Контур</w:t>
            </w:r>
          </w:p>
        </w:tc>
        <w:tc>
          <w:tcPr>
            <w:tcW w:type="dxa" w:w="4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какой стратегический / STR или операционный / OPE слой и какая функция затронуты</w:t>
            </w:r>
          </w:p>
        </w:tc>
        <w:tc>
          <w:tcPr>
            <w:tcW w:type="dxa" w:w="3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смешаны разные проблемы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Триггеры</w:t>
            </w:r>
          </w:p>
        </w:tc>
        <w:tc>
          <w:tcPr>
            <w:tcW w:type="dxa" w:w="4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какие T1-T14 подтверждены</w:t>
            </w:r>
          </w:p>
        </w:tc>
        <w:tc>
          <w:tcPr>
            <w:tcW w:type="dxa" w:w="3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больше 3 доминирующих на одну Сессию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Граница решения</w:t>
            </w:r>
          </w:p>
        </w:tc>
        <w:tc>
          <w:tcPr>
            <w:tcW w:type="dxa" w:w="4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что можно менять и что нельзя трогать</w:t>
            </w:r>
          </w:p>
        </w:tc>
        <w:tc>
          <w:tcPr>
            <w:tcW w:type="dxa" w:w="3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есть мандат и ограничения</w:t>
            </w:r>
          </w:p>
        </w:tc>
      </w:tr>
    </w:tbl>
    <w:p/>
    <w:p>
      <w:pPr>
        <w:pStyle w:val="Heading1"/>
      </w:pPr>
      <w:r>
        <w:t>7. Выбор количества Сессий</w:t>
      </w:r>
    </w:p>
    <w:p>
      <w:r>
        <w:t>Одна большая Сессия по множеству триггеров создает шум. Поэтому после Диагностики триггеры ранжируются и группируются.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700"/>
      </w:tblGrid>
      <w:tr>
        <w:tc>
          <w:tcPr>
            <w:tcW w:type="dxa" w:w="2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Ситуация</w:t>
            </w:r>
          </w:p>
        </w:tc>
        <w:tc>
          <w:tcPr>
            <w:tcW w:type="dxa" w:w="2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Решение</w:t>
            </w:r>
          </w:p>
        </w:tc>
        <w:tc>
          <w:tcPr>
            <w:tcW w:type="dxa" w:w="4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Обоснование</w:t>
            </w:r>
          </w:p>
        </w:tc>
      </w:tr>
      <w:tr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 триггер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 Сессия</w:t>
            </w:r>
          </w:p>
        </w:tc>
        <w:tc>
          <w:tcPr>
            <w:tcW w:type="dxa" w:w="4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поле достаточно узкое</w:t>
            </w:r>
          </w:p>
        </w:tc>
      </w:tr>
      <w:tr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2-3 связанных триггера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 Сессия</w:t>
            </w:r>
          </w:p>
        </w:tc>
        <w:tc>
          <w:tcPr>
            <w:tcW w:type="dxa" w:w="4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есть общий результат, ресурс или владелец</w:t>
            </w:r>
          </w:p>
        </w:tc>
      </w:tr>
      <w:tr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4+ триггера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несколько Сессий по группам 1-3</w:t>
            </w:r>
          </w:p>
        </w:tc>
        <w:tc>
          <w:tcPr>
            <w:tcW w:type="dxa" w:w="4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сначала самый высокий рейтинг влияния и готовности</w:t>
            </w:r>
          </w:p>
        </w:tc>
      </w:tr>
      <w:tr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Несвязанные триггеры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развести по разным Сессиям</w:t>
            </w:r>
          </w:p>
        </w:tc>
        <w:tc>
          <w:tcPr>
            <w:tcW w:type="dxa" w:w="4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иначе мост и Спринт будут неуправляемыми</w:t>
            </w:r>
          </w:p>
        </w:tc>
      </w:tr>
    </w:tbl>
    <w:p/>
    <w:p>
      <w:pPr>
        <w:pStyle w:val="Heading1"/>
      </w:pPr>
      <w:r>
        <w:t>8. Сессия: рабочий набор</w:t>
      </w:r>
    </w:p>
    <w:p>
      <w:r>
        <w:t>Сессия выбирает не красивые словосочетания, а навигационно точный рабочий набор. В каждом выбранном элементе должны быть код, точное название, функция и причина выбора.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2500"/>
        <w:gridCol w:w="5200"/>
        <w:gridCol w:w="2200"/>
      </w:tblGrid>
      <w:tr>
        <w:tc>
          <w:tcPr>
            <w:tcW w:type="dxa" w:w="2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Тип</w:t>
            </w:r>
          </w:p>
        </w:tc>
        <w:tc>
          <w:tcPr>
            <w:tcW w:type="dxa" w:w="5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Обязательные поля</w:t>
            </w:r>
          </w:p>
        </w:tc>
        <w:tc>
          <w:tcPr>
            <w:tcW w:type="dxa" w:w="2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Запрет</w:t>
            </w:r>
          </w:p>
        </w:tc>
      </w:tr>
      <w:tr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Стратегические фреймворки</w:t>
            </w:r>
          </w:p>
        </w:tc>
        <w:tc>
          <w:tcPr>
            <w:tcW w:type="dxa" w:w="5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код; точное название; набор S/O/X; триггер; зачем выбран; какой выход дает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писать общими словами вроде 'стратегия роста' без кода и названия</w:t>
            </w:r>
          </w:p>
        </w:tc>
      </w:tr>
      <w:tr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Операционные инструменты</w:t>
            </w:r>
          </w:p>
        </w:tc>
        <w:tc>
          <w:tcPr>
            <w:tcW w:type="dxa" w:w="5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код; точное название; функция; какой разрыв закрывает; владелец; метрика; артефакт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выбирать исходный дубль, шаблон, метрику или навигационную строку вместо инструмента</w:t>
            </w:r>
          </w:p>
        </w:tc>
      </w:tr>
      <w:tr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Мост</w:t>
            </w:r>
          </w:p>
        </w:tc>
        <w:tc>
          <w:tcPr>
            <w:tcW w:type="dxa" w:w="5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стратегический выход; инструмент; владелец; метрика; ритм; артефакт Спринта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 пускать в Спринт инструмент без связи со стратегическим выбором</w:t>
            </w:r>
          </w:p>
        </w:tc>
      </w:tr>
    </w:tbl>
    <w:p/>
    <w:p>
      <w:pPr>
        <w:pStyle w:val="Heading1"/>
      </w:pPr>
      <w:r>
        <w:t>9. Спринт 30-60-90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5500"/>
        <w:gridCol w:w="2800"/>
      </w:tblGrid>
      <w:tr>
        <w:tc>
          <w:tcPr>
            <w:tcW w:type="dxa" w:w="1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Период</w:t>
            </w:r>
          </w:p>
        </w:tc>
        <w:tc>
          <w:tcPr>
            <w:tcW w:type="dxa" w:w="5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Задача</w:t>
            </w:r>
          </w:p>
        </w:tc>
        <w:tc>
          <w:tcPr>
            <w:tcW w:type="dxa" w:w="28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Проверка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0-30</w:t>
            </w:r>
          </w:p>
        </w:tc>
        <w:tc>
          <w:tcPr>
            <w:tcW w:type="dxa" w:w="5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запустить владельцев, базовую линию, ритм и первый артефакт</w:t>
            </w:r>
          </w:p>
        </w:tc>
        <w:tc>
          <w:tcPr>
            <w:tcW w:type="dxa" w:w="2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контур начал жить в регулярных решениях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31-60</w:t>
            </w:r>
          </w:p>
        </w:tc>
        <w:tc>
          <w:tcPr>
            <w:tcW w:type="dxa" w:w="5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проверить первые изменения, сопротивление, качество данных и узкие места</w:t>
            </w:r>
          </w:p>
        </w:tc>
        <w:tc>
          <w:tcPr>
            <w:tcW w:type="dxa" w:w="2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есть фактическое движение или понятная причина удержания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61-90</w:t>
            </w:r>
          </w:p>
        </w:tc>
        <w:tc>
          <w:tcPr>
            <w:tcW w:type="dxa" w:w="5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принять решение: масштабировать, продолжить, пересобрать, остановить или передать клиенту</w:t>
            </w:r>
          </w:p>
        </w:tc>
        <w:tc>
          <w:tcPr>
            <w:tcW w:type="dxa" w:w="2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вердикт основан на фактах, не на настроении команды</w:t>
            </w:r>
          </w:p>
        </w:tc>
      </w:tr>
    </w:tbl>
    <w:p/>
    <w:p>
      <w:pPr>
        <w:pStyle w:val="Heading1"/>
      </w:pPr>
      <w:r>
        <w:t>10. Сопровождение</w:t>
      </w:r>
    </w:p>
    <w:p>
      <w:r>
        <w:t>Сопровождение проверяет, стал ли контур частью управления. Оно не заменяет владельцев клиента и не продается без объекта, созданного в Спринте.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4500"/>
        <w:gridCol w:w="3500"/>
      </w:tblGrid>
      <w:tr>
        <w:tc>
          <w:tcPr>
            <w:tcW w:type="dxa" w:w="1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Проверка</w:t>
            </w:r>
          </w:p>
        </w:tc>
        <w:tc>
          <w:tcPr>
            <w:tcW w:type="dxa" w:w="4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Вопрос</w:t>
            </w:r>
          </w:p>
        </w:tc>
        <w:tc>
          <w:tcPr>
            <w:tcW w:type="dxa" w:w="3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Стоп-условие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Устойчивость</w:t>
            </w:r>
          </w:p>
        </w:tc>
        <w:tc>
          <w:tcPr>
            <w:tcW w:type="dxa" w:w="4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контур живет без внешнего толчка?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решения снова возвращаются в ручной режим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Данные</w:t>
            </w:r>
          </w:p>
        </w:tc>
        <w:tc>
          <w:tcPr>
            <w:tcW w:type="dxa" w:w="4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метрики используются в решениях?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данные собираются, но не меняют действия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Владельцы</w:t>
            </w:r>
          </w:p>
        </w:tc>
        <w:tc>
          <w:tcPr>
            <w:tcW w:type="dxa" w:w="4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владельцы держат ритм?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ответственность снова размыта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Откат</w:t>
            </w:r>
          </w:p>
        </w:tc>
        <w:tc>
          <w:tcPr>
            <w:tcW w:type="dxa" w:w="4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какие старые паттерны вернулись?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откат сильнее эффекта Спринта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Выход</w:t>
            </w:r>
          </w:p>
        </w:tc>
        <w:tc>
          <w:tcPr>
            <w:tcW w:type="dxa" w:w="4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можно сократить участие или выйти?</w:t>
            </w:r>
          </w:p>
        </w:tc>
        <w:tc>
          <w:tcPr>
            <w:tcW w:type="dxa" w:w="3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клиент зависим от внешнего проводника</w:t>
            </w:r>
          </w:p>
        </w:tc>
      </w:tr>
    </w:tbl>
    <w:p/>
    <w:p>
      <w:pPr>
        <w:pStyle w:val="Heading1"/>
      </w:pPr>
      <w:r>
        <w:t>11. Доказательность и переходы</w:t>
      </w:r>
    </w:p>
    <w:p>
      <w:r>
        <w:t>Каждый переход между продуктами требует доказательства. Нельзя перейти дальше только потому, что этап проведен календарно.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5400"/>
        <w:gridCol w:w="2200"/>
      </w:tblGrid>
      <w:tr>
        <w:tc>
          <w:tcPr>
            <w:tcW w:type="dxa" w:w="23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Переход</w:t>
            </w:r>
          </w:p>
        </w:tc>
        <w:tc>
          <w:tcPr>
            <w:tcW w:type="dxa" w:w="54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Минимум доказательств</w:t>
            </w:r>
          </w:p>
        </w:tc>
        <w:tc>
          <w:tcPr>
            <w:tcW w:type="dxa" w:w="2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Решение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Диагностика -&gt; Сессия</w:t>
            </w:r>
          </w:p>
        </w:tc>
        <w:tc>
          <w:tcPr>
            <w:tcW w:type="dxa" w:w="5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проблемная единица, факты, текущий контур, мандат, 1-3 триггера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запускать или удержать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Сессия -&gt; Спринт</w:t>
            </w:r>
          </w:p>
        </w:tc>
        <w:tc>
          <w:tcPr>
            <w:tcW w:type="dxa" w:w="5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рабочий набор с кодами, карта моста, владельцы, метрики, устав Спринта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запускать Спринт или вернуть в Сессию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Спринт -&gt; Сопровождение</w:t>
            </w:r>
          </w:p>
        </w:tc>
        <w:tc>
          <w:tcPr>
            <w:tcW w:type="dxa" w:w="5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активный контур, ритм, данные, итоговый вердикт, объект сопровождения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сопровождать или передать клиенту</w:t>
            </w:r>
          </w:p>
        </w:tc>
      </w:tr>
      <w:tr>
        <w:tc>
          <w:tcPr>
            <w:tcW w:type="dxa" w:w="23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Любой этап -&gt; Stop</w:t>
            </w:r>
          </w:p>
        </w:tc>
        <w:tc>
          <w:tcPr>
            <w:tcW w:type="dxa" w:w="5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нет данных, мандата, владельца, права действия или технология не нужна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остановить без имитации продолжения</w:t>
            </w:r>
          </w:p>
        </w:tc>
      </w:tr>
    </w:tbl>
    <w:p/>
    <w:p>
      <w:pPr>
        <w:pStyle w:val="Heading1"/>
      </w:pPr>
      <w:r>
        <w:t>12. Стоп-линии P1B</w:t>
      </w:r>
    </w:p>
    <w:p>
      <w:pPr>
        <w:pStyle w:val="ListBullet"/>
        <w:spacing w:after="60"/>
      </w:pPr>
      <w:r>
        <w:t>Не менять ядро ради понятности, продажи или дизайна.</w:t>
      </w:r>
    </w:p>
    <w:p>
      <w:pPr>
        <w:pStyle w:val="ListBullet"/>
        <w:spacing w:after="60"/>
      </w:pPr>
      <w:r>
        <w:t>Не продавать Сессию автоматически после Диагностики.</w:t>
      </w:r>
    </w:p>
    <w:p>
      <w:pPr>
        <w:pStyle w:val="ListBullet"/>
        <w:spacing w:after="60"/>
      </w:pPr>
      <w:r>
        <w:t>Не превращать Диагностику в бесплатный план внедрения.</w:t>
      </w:r>
    </w:p>
    <w:p>
      <w:pPr>
        <w:pStyle w:val="ListBullet"/>
        <w:spacing w:after="60"/>
      </w:pPr>
      <w:r>
        <w:t>Не использовать каталог 100 стратегических фреймворков и ядро 115 как клиентское меню.</w:t>
      </w:r>
    </w:p>
    <w:p>
      <w:pPr>
        <w:pStyle w:val="ListBullet"/>
        <w:spacing w:after="60"/>
      </w:pPr>
      <w:r>
        <w:t>Не запускать больше 3-5 инструментов в один Спринт.</w:t>
      </w:r>
    </w:p>
    <w:p>
      <w:pPr>
        <w:pStyle w:val="ListBullet"/>
        <w:spacing w:after="60"/>
      </w:pPr>
      <w:r>
        <w:t>Не оставлять английский термин без русского первичного термина.</w:t>
      </w:r>
    </w:p>
    <w:p>
      <w:pPr>
        <w:pStyle w:val="ListBullet"/>
        <w:spacing w:after="60"/>
      </w:pPr>
      <w:r>
        <w:t>Не считать наличие документа, метрики или встречи доказательством работоспособности контура.</w:t>
      </w:r>
    </w:p>
    <w:p>
      <w:pPr>
        <w:pStyle w:val="Heading1"/>
      </w:pPr>
      <w:r>
        <w:t>13. Карта артефактов P1B и их роль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4200"/>
        <w:gridCol w:w="4200"/>
        <w:gridCol w:w="1500"/>
      </w:tblGrid>
      <w:tr>
        <w:tc>
          <w:tcPr>
            <w:tcW w:type="dxa" w:w="4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Артефакт</w:t>
            </w:r>
          </w:p>
        </w:tc>
        <w:tc>
          <w:tcPr>
            <w:tcW w:type="dxa" w:w="4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Роль</w:t>
            </w:r>
          </w:p>
        </w:tc>
        <w:tc>
          <w:tcPr>
            <w:tcW w:type="dxa" w:w="1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Статус</w:t>
            </w:r>
          </w:p>
        </w:tc>
      </w:tr>
      <w:tr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proSTRANSTVO_Операционная_Система_v1.0.docx</w:t>
            </w:r>
          </w:p>
        </w:tc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главный источник правды P1B</w:t>
            </w:r>
          </w:p>
        </w:tc>
        <w:tc>
          <w:tcPr>
            <w:tcW w:type="dxa" w:w="1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создан в P1B</w:t>
            </w:r>
          </w:p>
        </w:tc>
      </w:tr>
      <w:tr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proSTRANSTVO_Матрица_Доказательности_v1.0.xlsx</w:t>
            </w:r>
          </w:p>
        </w:tc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факты, источники, артефакты, владельцы и влияние на вердикт</w:t>
            </w:r>
          </w:p>
        </w:tc>
        <w:tc>
          <w:tcPr>
            <w:tcW w:type="dxa" w:w="1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создан в P1B</w:t>
            </w:r>
          </w:p>
        </w:tc>
      </w:tr>
      <w:tr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proSTRANSTVO_Реестр_Артефактов_И_Переходов_v1.0.xlsx</w:t>
            </w:r>
          </w:p>
        </w:tc>
        <w:tc>
          <w:tcPr>
            <w:tcW w:type="dxa" w:w="4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артефакты 4 продуктов и чеклисты переходов</w:t>
            </w:r>
          </w:p>
        </w:tc>
        <w:tc>
          <w:tcPr>
            <w:tcW w:type="dxa" w:w="1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создан в P1B</w:t>
            </w:r>
          </w:p>
        </w:tc>
      </w:tr>
    </w:tbl>
    <w:p/>
    <w:p>
      <w:pPr>
        <w:pStyle w:val="Heading1"/>
      </w:pPr>
      <w:r>
        <w:t>14. Критерий GO P1B</w:t>
      </w:r>
    </w:p>
    <w:tbl>
      <w:tblPr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9900"/>
      </w:tblGrid>
      <w:tr>
        <w:tc>
          <w:tcPr>
            <w:tcW w:type="dxa" w:w="9900"/>
            <w:shd w:fill="F4F6F9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GO P1B. </w:t>
            </w:r>
            <w:r>
              <w:t>По каждому из 4 продуктов есть цель, вход, процесс, артефакты, роли, доказательства, вердикт, критерий перехода и стоп-условия. Диагностика доказывает платную ценность сама по себе и может завершиться запуском, запуском с условиями, удержанием или остановкой.</w:t>
            </w:r>
          </w:p>
        </w:tc>
      </w:tr>
    </w:tbl>
    <w:p/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 - операционная система технологии v1.0</dc:title>
  <dc:subject>P1B: главный источник правды</dc:subject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