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операционная таблица / OPE Table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операционная таблица / OPE Table v0.2 выбирает операционные носители только из канонического реестра: один инструмент = один канонический ID / canonical_id. Дубли не считаются отдельными инструментами, а обогащают каноническую строку.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66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74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7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67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канонический реестр инструментов / Canonical Tool Register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 дедубликации</w:t>
            </w:r>
          </w:p>
        </w:tc>
        <w:tc>
          <w:tcPr>
            <w:tcW w:type="dxa" w:w="67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кандидатов: OPE 100 + FIN 6 + CUSTOMER 10</w:t>
            </w:r>
          </w:p>
        </w:tc>
      </w:tr>
      <w:tr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машинной дедубликации</w:t>
            </w:r>
          </w:p>
        </w:tc>
        <w:tc>
          <w:tcPr>
            <w:tcW w:type="dxa" w:w="67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канонических инструментов</w:t>
            </w:r>
          </w:p>
        </w:tc>
      </w:tr>
      <w:t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Счетный дубль</w:t>
            </w:r>
          </w:p>
        </w:tc>
        <w:tc>
          <w:tcPr>
            <w:tcW w:type="dxa" w:w="67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OPE-0023 Rolling Cash Flow Forecast + FIN-0002 13-недельный денежный пульс / 13W Pulse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7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отдельная функция v0.2; учитывается внутри IT только при наличии конкретного инструмента</w:t>
            </w:r>
          </w:p>
        </w:tc>
      </w:tr>
      <w:tr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Старые v0.1</w:t>
            </w:r>
          </w:p>
        </w:tc>
        <w:tc>
          <w:tcPr>
            <w:tcW w:type="dxa" w:w="67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перенесены в Archive_v0.1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STR Output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Canonical Tool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Bridge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Owner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Metric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Sprint</w:t>
            </w:r>
          </w:p>
        </w:tc>
      </w:tr>
    </w:tbl>
    <w:p/>
    <w:p>
      <w:r>
        <w:br w:type="page"/>
      </w:r>
    </w:p>
    <w:p>
      <w:pPr>
        <w:pStyle w:val="Heading1"/>
      </w:pPr>
      <w:r>
        <w:t>1. Правило канонического инструмента</w:t>
      </w:r>
    </w:p>
    <w:p>
      <w:pPr>
        <w:spacing w:after="120" w:line="300" w:lineRule="auto"/>
      </w:pPr>
      <w:r>
        <w:t>OPE Table v0.2 запрещает ручную арифметику инструментов. Счетчик строится только от канонического ID / canonical_id. Если объект является алиасом, вариантом, мерой, шаблоном, метрикой, оффером или элементом интерфейса, он не увеличивает число инструментов. / UI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697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 в v0.2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может входить в ядро при наличии задачи, входов, процедуры, выхода, владельца, ритма, метрики и ограничения</w:t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Метрика / сигнал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инструмент, но не считается инструментом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Финансовая мера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может быть действием в Спринте, но не считается инструментом без методики</w:t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Шаблон / файл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носитель применения, но не инструмент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Оффер / тактика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вариант действия, но не инструмент</w:t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Дубль / алиас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удаляется информационно, а обогащает канонический инструмент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Аннулированное правило v0.1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Формула 100 OPE + 47 FIN + 135 CUSTOMER = 282 больше не используется как счетчик инструментов. Это был загрязненный индекс объектов, а не инструментальное ядро.</w:t>
            </w:r>
          </w:p>
        </w:tc>
      </w:tr>
    </w:tbl>
    <w:p/>
    <w:p>
      <w:pPr>
        <w:pStyle w:val="Heading1"/>
      </w:pPr>
      <w:r>
        <w:t>2. Распределение 115 инструментов по ресурсам компании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Два разных счетчика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OPE 100, FIN 6 и CUSTOMER 10 - это исходное инструментальное ядро по книгам до дедубликации. FIN 15 ниже - не финансовое ядро книги, а количество канонических инструментов, которые обеспечивают функцию финансы в компании. / FIN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02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68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Функция компании</w:t>
            </w:r>
          </w:p>
        </w:tc>
        <w:tc>
          <w:tcPr>
            <w:tcW w:type="dxa" w:w="113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357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считать</w:t>
            </w:r>
          </w:p>
        </w:tc>
      </w:tr>
      <w:tr>
        <w:tc>
          <w:tcPr>
            <w:tcW w:type="dxa" w:w="10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MRK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Маркетинг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33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OPE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Операции</w:t>
            </w:r>
          </w:p>
        </w:tc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30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SLS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Продажи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16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FIN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Финансы</w:t>
            </w:r>
          </w:p>
        </w:tc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HR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Персонал / люди и организация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информационные технологии и данные /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клиентский контур / CUSTOMER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CUSTOMER не становится седьмой функцией компании. Клиентские инструменты распределяются в маркетинг / MRK и продажи / SLS по основной функции применения. / SLS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искусственный интеллект / AI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AI не входит в функцию и счетчик v0.2. Единственный AI-инструмент остается в информационные технологии и данные. Любая / ITAI-тема проверяется только через конкретный IT-инструмент, владельца, артефакт и метрику.</w:t>
            </w:r>
          </w:p>
        </w:tc>
      </w:tr>
    </w:tbl>
    <w:p/>
    <w:p>
      <w:pPr>
        <w:pStyle w:val="Heading1"/>
      </w:pPr>
      <w:r>
        <w:t>3. Фиксация дублей и обогащение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34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2891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Канонический инструмент</w:t>
            </w:r>
          </w:p>
        </w:tc>
        <w:tc>
          <w:tcPr>
            <w:tcW w:type="dxa" w:w="2948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Дубли / обогащение</w:t>
            </w:r>
          </w:p>
        </w:tc>
        <w:tc>
          <w:tcPr>
            <w:tcW w:type="dxa" w:w="2438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v0.2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DUP-001</w:t>
            </w:r>
          </w:p>
        </w:tc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скользящий 13 / OPE-0023 Rolling Cash Flow Forecast-недельный прогноз ДДС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FIN-0002 13-недельный денежный пульс / 13W Pulse; FIN-0032 Алерт 13-недельного денежного пульса / Alert (13W Pulse); FIN-0045 13-недельный денежный пульс / 13-Week Pulse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один инструмент; FIN-данные добавляют финансовую специализацию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DUP-003</w:t>
            </w:r>
          </w:p>
        </w:tc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STR-0098 Dreams to be Done + CUS-0006 DTBD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межслойное STR/CUSTOMER пересечение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складывать как два независимых знания; обогащать карточку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DUP-005</w:t>
            </w:r>
          </w:p>
        </w:tc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STR-0052 Jobs to be Done + CUS-0005 JTBD 3.0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межслойное STR/CUSTOMER пересечение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связать стратегическую модель и клиентскую версию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DUP-006</w:t>
            </w:r>
          </w:p>
        </w:tc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STR-0056 KPI Tree + OPE-0092 KPI Tree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STR/OPE пересечение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стратегическая модель и операционный носитель должны иметь общую карточку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DUP-008</w:t>
            </w:r>
          </w:p>
        </w:tc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STR-0009 Net Emotional Value + CUS-0008 NEV Lite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STR/CUSTOMER пересечение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объединить смысл, метрику и применение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DUP-010</w:t>
            </w:r>
          </w:p>
        </w:tc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FIN-0004 Бюджетирование с нуля / ZeroBudget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ZBB, Бюджетирование с нуля 2.0 / Zero-Based Budget 2.0, чек-лист / checklist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один инструмент, остальные строки - алиасы, меры или носители</w:t>
            </w:r>
          </w:p>
        </w:tc>
      </w:tr>
    </w:tbl>
    <w:p/>
    <w:p>
      <w:pPr>
        <w:pStyle w:val="Heading1"/>
      </w:pPr>
      <w:r>
        <w:t>4. Протокол выбора инструмента в Сессии и мосте / Bridge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64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Запрет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взять проблемную единицу / Problem Unit и стратегический выход / Strategic Output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начинать с каталога инструментов</w:t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найти канонический ID / canonical_id в реестре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брать duplicate_id / ID дубля как отдельный инструмент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зафиксировать основную функцию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считать CUSTOMER или AI отдельной функцией v0.2</w:t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владельца, ритм, артефакт и метрику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запускать инструмент без носителя управления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проверить деньги / FIN и клиента / CUSTOMER как результатные контуры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подменять результат активностью</w:t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оставить 3-5 инструментов в профиле объема / Sprint Scope Profile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перегружать Спринт 10-20 строками без мостов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2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85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ставить</w:t>
            </w:r>
          </w:p>
        </w:tc>
        <w:tc>
          <w:tcPr>
            <w:tcW w:type="dxa" w:w="362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/ Go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есть canonical_id, функция, владелец, ритм, метрика, 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в Спринт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с условиями / Go with conditions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1-2 неядровых условия с владельцем закрытия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закрыть до контрольной точки</w:t>
            </w:r>
          </w:p>
        </w:tc>
      </w:tr>
      <w:t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неясен инструмент, функция, владелец, данные или мост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вернуться к диагностике или сессии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выбран не инструмент, а мера, шаблон, оффер или активность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запускать Спринт</w:t>
            </w:r>
          </w:p>
        </w:tc>
      </w:tr>
    </w:tbl>
    <w:p/>
    <w:p>
      <w:pPr>
        <w:pStyle w:val="Heading1"/>
      </w:pPr>
      <w:r>
        <w:t>5. Контроль выпуска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54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в документе 282 как число инструментов?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Нет. 282 считается загрязненным индексом объектов.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116 как итоговое уникальное ядро?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Нет. 116 = кандидаты до дедубликации.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115 как финальная истина?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Нет. 115 = машинная дедубликация, требует ручной приемки.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AI вынесен отдельной функцией?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Нет. AI снят как функция v0.2 и остается внутри IT при наличии инструмента.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Дубли STR/OPE/FIN/CUSTOMER зафиксированы?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Да. Дубли обогащают канонические инструменты.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использовать документ как клиентский справочник?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Нет. Это внутренний навигационный документ восстановления.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Режим критика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можно использовать внутри / Go internal только после сверки с каноническим реестром. Любой новый документ, где счетчик инструментов появляется вручную, получает / Canonical Tool Registerудержать. / Hold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операционная таблица / OPE Table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OPE Table / операционная таблица v0.2</dc:title>
  <dc:subject>Recovery Build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