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1F4E79"/>
          <w:sz w:val="42"/>
        </w:rPr>
        <w:t>Письма и сообщения для продажи Диагностики v1.0</w:t>
      </w:r>
    </w:p>
    <w:p>
      <w:r>
        <w:rPr>
          <w:rFonts w:ascii="Calibri" w:hAnsi="Calibri"/>
          <w:color w:val="5B6770"/>
          <w:sz w:val="22"/>
        </w:rPr>
        <w:t>Готовые тексты касаний и ответов на возражения.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EE6"/>
          <w:left w:val="single" w:sz="4" w:space="0" w:color="D6DEE6"/>
          <w:bottom w:val="single" w:sz="4" w:space="0" w:color="D6DEE6"/>
          <w:right w:val="single" w:sz="4" w:space="0" w:color="D6DEE6"/>
          <w:insideH w:val="single" w:sz="4" w:space="0" w:color="D6DEE6"/>
          <w:insideV w:val="single" w:sz="4" w:space="0" w:color="D6DEE6"/>
        </w:tblBorders>
      </w:tblPr>
      <w:tblGrid>
        <w:gridCol w:w="9866"/>
      </w:tblGrid>
      <w:tr>
        <w:tc>
          <w:tcPr>
            <w:tcW w:type="dxa" w:w="9865"/>
            <w:shd w:fill="EAF2F8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E79"/>
                <w:sz w:val="19"/>
              </w:rPr>
              <w:t xml:space="preserve">Статус. </w:t>
            </w:r>
            <w:r>
              <w:rPr>
                <w:rFonts w:ascii="Calibri" w:hAnsi="Calibri"/>
                <w:color w:val="1F2933"/>
                <w:sz w:val="19"/>
              </w:rPr>
              <w:t>P3. Коммерческая упаковка после методической приемки. Документ не переписывает ядро технологии и не заменяет Диагностику.</w:t>
            </w:r>
          </w:p>
        </w:tc>
      </w:tr>
    </w:tbl>
    <w:p/>
    <w:p>
      <w:pPr>
        <w:pStyle w:val="Heading1"/>
      </w:pPr>
      <w:r>
        <w:t>1. Первое короткое письмо</w:t>
      </w:r>
    </w:p>
    <w:p>
      <w:r>
        <w:t>Здравствуйте. Если у компании есть стратегия, инициативы и управленческие решения, но результат проседает в марже, деньгах, клиенте, скорости или качестве, часто проблема не в отсутствии идей, а в разрыве контура стратегия -&gt; операции -&gt; результат.</w:t>
      </w:r>
    </w:p>
    <w:p>
      <w:r>
        <w:t>проSTRAнство начинает не с Сессии, а с платной Диагностики: мы проверяем текущий контур, формализуем проблемную единицу и даем вердикт следующего шага.</w:t>
      </w:r>
    </w:p>
    <w:p>
      <w:r>
        <w:t>Если тема актуальна, предлагаю короткий квалификационный разговор на 45-60 минут.</w:t>
      </w:r>
    </w:p>
    <w:p>
      <w:pPr>
        <w:pStyle w:val="Heading1"/>
      </w:pPr>
      <w:r>
        <w:t>2. После теплой рекомендации</w:t>
      </w:r>
    </w:p>
    <w:p>
      <w:r>
        <w:t>Коллеги передали, что у вас сейчас важный управленческий контур, где решения есть, но исполнение и результат расходятся. В таких задачах мы не предлагаем сразу стратегическую Сессию. Первый шаг - Диагностика проSTRAнства.</w:t>
      </w:r>
    </w:p>
    <w:p>
      <w:r>
        <w:t>Ее результат: карта проблемной единицы, факты, разрывы контура и честный вердикт: переходить к Сессии / Go, переходить с условиями, не переходить дальше сейчас / Hold или остановить / Stop.</w:t>
      </w:r>
    </w:p>
    <w:p>
      <w:pPr>
        <w:pStyle w:val="Heading1"/>
      </w:pPr>
      <w:r>
        <w:t>3. Ответ на просьбу прислать презентацию</w:t>
      </w:r>
    </w:p>
    <w:p>
      <w:r>
        <w:t>Презентацию пришлю, но важнее сначала не продать вам красивый формат, а понять, есть ли основание для платной Диагностики. Для этого нужен короткий разговор: какая боль влияет на результат, кто владеет проблемой, какие данные доступны и есть ли мандат на проверку.</w:t>
      </w:r>
    </w:p>
    <w:p>
      <w:pPr>
        <w:pStyle w:val="Heading1"/>
      </w:pPr>
      <w:r>
        <w:t>4. Ответ на “давайте сразу Сессию”</w:t>
      </w:r>
    </w:p>
    <w:p>
      <w:r>
        <w:t>Сессия без Диагностики легко превращается в мозговой штурм. В проSTRAнстве Сессия начинается только после диагноза: когда понятны проблемная единица, факты, текущий контур, 1-3 связанных триггера и условия перехода.</w:t>
      </w:r>
    </w:p>
    <w:p>
      <w:pPr>
        <w:pStyle w:val="Heading1"/>
      </w:pPr>
      <w:r>
        <w:t>5. Ответ на “дорого за Диагностику”</w:t>
      </w:r>
    </w:p>
    <w:p>
      <w:r>
        <w:t>Диагностика платная, потому что это самостоятельный управленческий результат, а не пресейл. Она может сэкономить компании стоимость лишней Сессии, неверного Спринта и инициатив, которые запускаются без фактов.</w:t>
      </w:r>
    </w:p>
    <w:p>
      <w:pPr>
        <w:pStyle w:val="Heading1"/>
      </w:pPr>
      <w:r>
        <w:t>6. Ответ на “у нас все хорошо”</w:t>
      </w:r>
    </w:p>
    <w:p>
      <w:r>
        <w:t>Возможно, часть контура действительно работает. Диагностика как раз отделяет то, что уже есть и что не надо трогать, от скрытых разрывов, которые пока не сформулированы, но влияют на результат.</w:t>
      </w:r>
    </w:p>
    <w:p>
      <w:pPr>
        <w:pStyle w:val="Heading1"/>
      </w:pPr>
      <w:r>
        <w:t>7. Ответ на “нам нужен план внедрения”</w:t>
      </w:r>
    </w:p>
    <w:p>
      <w:r>
        <w:t>План внедрения появляется после Сессии и моста. До Диагностики есть риск строить план вокруг симптома или личной версии проблемы. Сначала нужно доказать проблемную единицу и условия следующего шага.</w:t>
      </w:r>
    </w:p>
    <w:p>
      <w:pPr>
        <w:pStyle w:val="Heading1"/>
      </w:pPr>
      <w:r>
        <w:t>8. Письмо с фиксацией удержания или отказа</w:t>
      </w:r>
    </w:p>
    <w:p>
      <w:r>
        <w:t>По итогам разговора сейчас не вижу надежных условий для Диагностики: не хватает мандата, данных или готовности к проверке фактов. Корректнее не начинать проект, чем имитировать движение. Можно вернуться к разговору, когда появятся условия платного входа.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EE6"/>
          <w:left w:val="single" w:sz="4" w:space="0" w:color="D6DEE6"/>
          <w:bottom w:val="single" w:sz="4" w:space="0" w:color="D6DEE6"/>
          <w:right w:val="single" w:sz="4" w:space="0" w:color="D6DEE6"/>
          <w:insideH w:val="single" w:sz="4" w:space="0" w:color="D6DEE6"/>
          <w:insideV w:val="single" w:sz="4" w:space="0" w:color="D6DEE6"/>
        </w:tblBorders>
      </w:tblPr>
      <w:tblGrid>
        <w:gridCol w:w="9866"/>
      </w:tblGrid>
      <w:tr>
        <w:tc>
          <w:tcPr>
            <w:tcW w:type="dxa" w:w="9865"/>
            <w:shd w:fill="FFF4CC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E79"/>
                <w:sz w:val="19"/>
              </w:rPr>
              <w:t xml:space="preserve">Правило. </w:t>
            </w:r>
            <w:r>
              <w:rPr>
                <w:rFonts w:ascii="Calibri" w:hAnsi="Calibri"/>
                <w:color w:val="1F2933"/>
                <w:sz w:val="19"/>
              </w:rPr>
              <w:t>Ни одно письмо не должно отдавать бесплатный диагноз, обещать Сессию до Диагностики или продавать проSTRAнство как обычный аудит.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964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770"/>
        <w:sz w:val="16"/>
      </w:rPr>
      <w:t>Диагностика - обязательный платный вход. Сессия не продается автоматически.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B6770"/>
        <w:sz w:val="16"/>
      </w:rPr>
      <w:t>проSTRAнство | коммерческий пакет P3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color w:val="1F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365F9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