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59" w:lineRule="auto"/>
      </w:pPr>
      <w:r>
        <w:rPr>
          <w:rFonts w:ascii="Arial" w:hAnsi="Arial" w:eastAsia="Arial"/>
          <w:b/>
          <w:color w:val="163B59"/>
          <w:sz w:val="38"/>
        </w:rPr>
        <w:t>проSTRAнство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5A636E"/>
          <w:sz w:val="30"/>
        </w:rPr>
        <w:t>Продукты, сроки и цены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3F6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2F343B"/>
                <w:sz w:val="19"/>
              </w:rPr>
              <w:t>Коммерческая упаковка технологии: что продаем, за что клиент платит, как считать цену, какие форматы показывать публично и где ставить границы обещаний.</w:t>
            </w:r>
          </w:p>
        </w:tc>
      </w:tr>
    </w:tbl>
    <w:p>
      <w:pPr>
        <w:spacing w:after="4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360"/>
        <w:gridCol w:w="1814"/>
        <w:gridCol w:w="4536"/>
      </w:tblGrid>
      <w:tr>
        <w:trPr>
          <w:cantSplit/>
        </w:trPr>
        <w:tc>
          <w:tcPr>
            <w:tcW w:type="dxa" w:w="249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Статус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Версия</w:t>
            </w:r>
          </w:p>
        </w:tc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Дата</w:t>
            </w:r>
          </w:p>
        </w:tc>
        <w:tc>
          <w:tcPr>
            <w:tcW w:type="dxa" w:w="453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Аудитория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рабочая коммерческая версия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v0.3</w:t>
            </w:r>
          </w:p>
        </w:tc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15 июля 2026</w:t>
            </w:r>
          </w:p>
        </w:tc>
        <w:tc>
          <w:tcPr>
            <w:tcW w:type="dxa" w:w="453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средний бизнес; собственник; генеральный директор; первый управленческий круг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1. Главная ценовая логика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2E8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2F343B"/>
                <w:sz w:val="19"/>
              </w:rPr>
              <w:t>проSTRAнство продается не как консультационные часы, не как стратегическая сессия и не как набор таблиц. Технология продает способность компании увидеть и собрать связку стратегии и операций до того, как разрыв станет потерей денег, скорости, клиентов и управляемости.</w:t>
            </w:r>
          </w:p>
        </w:tc>
      </w:tr>
    </w:tbl>
    <w:p>
      <w:pPr>
        <w:spacing w:after="4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257"/>
      </w:tblGrid>
      <w:tr>
        <w:trPr>
          <w:cantSplit/>
        </w:trPr>
        <w:tc>
          <w:tcPr>
            <w:tcW w:type="dxa" w:w="294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Клиент платит за</w:t>
            </w:r>
          </w:p>
        </w:tc>
        <w:tc>
          <w:tcPr>
            <w:tcW w:type="dxa" w:w="72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Что это дает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оценку текущего контура</w:t>
            </w:r>
          </w:p>
        </w:tc>
        <w:tc>
          <w:tcPr>
            <w:tcW w:type="dxa" w:w="72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компания понимает, что уже есть, что реально работает, что разорвано, что не надо трогать и что надо пересобрать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точную проблемную единицу</w:t>
            </w:r>
          </w:p>
        </w:tc>
        <w:tc>
          <w:tcPr>
            <w:tcW w:type="dxa" w:w="72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боль переводится из общих жалоб в проверяемый управленческий узел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систему Наборы / Триггеры</w:t>
            </w:r>
          </w:p>
        </w:tc>
        <w:tc>
          <w:tcPr>
            <w:tcW w:type="dxa" w:w="72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запрос связывается с наборами S/O/X и триггерами T1-T14, а не остается литературной формулировкой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рабочий набор моделей и инструментов</w:t>
            </w:r>
          </w:p>
        </w:tc>
        <w:tc>
          <w:tcPr>
            <w:tcW w:type="dxa" w:w="72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выбираются 5-7 стратегических моделей и 10-20 операционных инструментов под конкретную проблему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мост стратегии и операций</w:t>
            </w:r>
          </w:p>
        </w:tc>
        <w:tc>
          <w:tcPr>
            <w:tcW w:type="dxa" w:w="72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стратегическое намерение переводится в функции, владельцев, метрики, ритм и спринт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вердикт Диагностики</w:t>
            </w:r>
          </w:p>
        </w:tc>
        <w:tc>
          <w:tcPr>
            <w:tcW w:type="dxa" w:w="72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компания получает Идти дальше / Go, Пауза / Hold или Остановить / Stop вместо автоматической продажи следующего этапа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проверку внедрения</w:t>
            </w:r>
          </w:p>
        </w:tc>
        <w:tc>
          <w:tcPr>
            <w:tcW w:type="dxa" w:w="72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решение проходит через Спринт 30 / 60 / 90 и не остается красивым протоколом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2. Цена разрыва стратегии и операций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2E8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2F343B"/>
                <w:sz w:val="19"/>
              </w:rPr>
              <w:t>Формула. Цена разрыва стратегии и операций = потеря маржи + денежный разрыв + упущенная выручка + списания и возвраты + штрафы и срывы сроков + стоимость лишних инициатив + стоимость медленных решений + стоимость потери клиента и фокуса команды.</w:t>
            </w:r>
          </w:p>
        </w:tc>
      </w:tr>
    </w:tbl>
    <w:p>
      <w:pPr>
        <w:spacing w:after="4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231"/>
        <w:gridCol w:w="3798"/>
      </w:tblGrid>
      <w:tr>
        <w:trPr>
          <w:cantSplit/>
        </w:trPr>
        <w:tc>
          <w:tcPr>
            <w:tcW w:type="dxa" w:w="317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Масштаб управленческого разрыва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Потенциальная цена ошибки</w:t>
            </w:r>
          </w:p>
        </w:tc>
        <w:tc>
          <w:tcPr>
            <w:tcW w:type="dxa" w:w="379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Допустимая цена проSTRAнство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20-100 млн руб.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2-15 млн руб.</w:t>
            </w:r>
          </w:p>
        </w:tc>
        <w:tc>
          <w:tcPr>
            <w:tcW w:type="dxa" w:w="379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600 000 - 1 800 000 руб.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100-500 млн руб.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10-75 млн руб.</w:t>
            </w:r>
          </w:p>
        </w:tc>
        <w:tc>
          <w:tcPr>
            <w:tcW w:type="dxa" w:w="379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1 800 000 - 6 000 000 руб.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500 млн - 2 млрд руб.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50-250 млн руб.</w:t>
            </w:r>
          </w:p>
        </w:tc>
        <w:tc>
          <w:tcPr>
            <w:tcW w:type="dxa" w:w="379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5 000 000 - 15 000 000 руб.</w:t>
            </w:r>
          </w:p>
        </w:tc>
      </w:tr>
      <w:tr>
        <w:trPr>
          <w:cantSplit/>
        </w:trPr>
        <w:tc>
          <w:tcPr>
            <w:tcW w:type="dxa" w:w="317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2 млрд руб.+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150 млн руб.+</w:t>
            </w:r>
          </w:p>
        </w:tc>
        <w:tc>
          <w:tcPr>
            <w:tcW w:type="dxa" w:w="379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индивидуально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3. Продуктовая лестница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097"/>
        <w:gridCol w:w="2097"/>
        <w:gridCol w:w="2097"/>
        <w:gridCol w:w="2154"/>
      </w:tblGrid>
      <w:tr>
        <w:trPr>
          <w:cantSplit/>
        </w:trPr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Вход</w:t>
            </w:r>
          </w:p>
        </w:tc>
        <w:tc>
          <w:tcPr>
            <w:tcW w:type="dxa" w:w="209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Диагностика</w:t>
            </w:r>
          </w:p>
        </w:tc>
        <w:tc>
          <w:tcPr>
            <w:tcW w:type="dxa" w:w="209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Сессия</w:t>
            </w:r>
          </w:p>
        </w:tc>
        <w:tc>
          <w:tcPr>
            <w:tcW w:type="dxa" w:w="209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Спринт</w:t>
            </w:r>
          </w:p>
        </w:tc>
        <w:tc>
          <w:tcPr>
            <w:tcW w:type="dxa" w:w="215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Сопровождение</w:t>
            </w:r>
          </w:p>
        </w:tc>
      </w:tr>
      <w:tr>
        <w:trPr>
          <w:cantSplit/>
        </w:trPr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первичный разговор</w:t>
            </w:r>
          </w:p>
        </w:tc>
        <w:tc>
          <w:tcPr>
            <w:tcW w:type="dxa" w:w="209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диагноз и вердикт</w:t>
            </w:r>
          </w:p>
        </w:tc>
        <w:tc>
          <w:tcPr>
            <w:tcW w:type="dxa" w:w="209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рабочий набор и мост</w:t>
            </w:r>
          </w:p>
        </w:tc>
        <w:tc>
          <w:tcPr>
            <w:tcW w:type="dxa" w:w="209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проверка 30 / 60 / 90</w:t>
            </w:r>
          </w:p>
        </w:tc>
        <w:tc>
          <w:tcPr>
            <w:tcW w:type="dxa" w:w="215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удержание контура</w:t>
            </w:r>
          </w:p>
        </w:tc>
      </w:tr>
    </w:tbl>
    <w:p>
      <w:pPr>
        <w:spacing w:after="4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2E8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2F343B"/>
                <w:sz w:val="19"/>
              </w:rPr>
              <w:t>Базовое правило продажи: Сессия не продается автоматически. Диагностика может завершиться тремя решениями: Идти дальше / Go, Пауза / Hold или Остановить / Stop. Это не слабость продукта, а защита технологии от имитации внедрения.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4. Продукты, сроки и цены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551"/>
        <w:gridCol w:w="1360"/>
        <w:gridCol w:w="1757"/>
        <w:gridCol w:w="2608"/>
      </w:tblGrid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Продукт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Роль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Срок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Цена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Когда применять</w:t>
            </w:r>
          </w:p>
        </w:tc>
      </w:tr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Презентация и первичный разговор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квалификация запроса, масштаба, доступа к данным и готовности к Диагностике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45-60 минут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бесплатно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первый интерес, рекомендация, запрос с сайта или теплый вход</w:t>
            </w:r>
          </w:p>
        </w:tc>
      </w:tr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Диагностика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платный вход, проверка текущего контура, карта разрывов, вердикт следующего шага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7-10 рабочих дней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650 000 - 1 200 000 руб.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один бизнес-контур, до 2-3 ключевых триггеров, первый проект с клиентом</w:t>
            </w:r>
          </w:p>
        </w:tc>
      </w:tr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Расширенная Диагностика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глубокая проверка нескольких функций, данных, владельцев, метрик и разрывов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10-15 рабочих дней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1 200 000 - 2 000 000 руб.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несколько площадок, каналов, функций или спорных версий данных</w:t>
            </w:r>
          </w:p>
        </w:tc>
      </w:tr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Сессия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выбор 5-7 стратегических моделей, 10-20 операционных инструментов, сборка моста и согласование спринта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 день + подготовка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1 500 000 - 2 500 000 руб.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после Диагностики; не больше 3 связанных триггеров в одной Сессии</w:t>
            </w:r>
          </w:p>
        </w:tc>
      </w:tr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Серия Сессий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разделение шума на несколько рабочих сессий по группам триггеров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2-3 сессии + подготовка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2 800 000 - 5 500 000 руб.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если выявлено больше 3 значимых триггеров или несколько конфликтующих функций</w:t>
            </w:r>
          </w:p>
        </w:tc>
      </w:tr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Спринт 30 / 60 / 90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проверка выбранного решения на ограниченном контуре, метрики до / после, владельцы и ритм управления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6-12 недель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3 500 000 - 6 500 000 руб.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после Сессии; нужно не только согласовать, но и проверить работу контура</w:t>
            </w:r>
          </w:p>
        </w:tc>
      </w:tr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Расширенный Спринт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внедрение на нескольких функциях, каналах или площадках с общей панелью управления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12-16 недель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6 500 000 - 10 000 000 руб.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высокая цена ошибки, несколько функций, риск отката и сопротивления</w:t>
            </w:r>
          </w:p>
        </w:tc>
      </w:tr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Сопровождение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удержание ритма, проверка метрик, корректировка моста, защита от возврата к старой практике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от 3 месяцев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1 500 000 - 3 500 000 руб. / мес.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после Спринта или при регулярной управленческой нагрузке</w:t>
            </w:r>
          </w:p>
        </w:tc>
      </w:tr>
      <w:tr>
        <w:trPr>
          <w:cantSplit/>
        </w:trPr>
        <w:tc>
          <w:tcPr>
            <w:tcW w:type="dxa" w:w="192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Контур собственника</w:t>
            </w:r>
          </w:p>
        </w:tc>
        <w:tc>
          <w:tcPr>
            <w:tcW w:type="dxa" w:w="255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работа с собственником и первым управленческим кругом по ключевым развилкам</w:t>
            </w:r>
          </w:p>
        </w:tc>
        <w:tc>
          <w:tcPr>
            <w:tcW w:type="dxa" w:w="136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от 3 месяцев</w:t>
            </w:r>
          </w:p>
        </w:tc>
        <w:tc>
          <w:tcPr>
            <w:tcW w:type="dxa" w:w="175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3 000 000 - 5 000 000 руб. / мес.</w:t>
            </w:r>
          </w:p>
        </w:tc>
        <w:tc>
          <w:tcPr>
            <w:tcW w:type="dxa" w:w="260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высокая цена ошибки, конфликт ставок, портфель решений, крупные изменения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5. Публичная ценовая подача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5443"/>
      </w:tblGrid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Формат</w:t>
            </w:r>
          </w:p>
        </w:tc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Публично</w:t>
            </w:r>
          </w:p>
        </w:tc>
        <w:tc>
          <w:tcPr>
            <w:tcW w:type="dxa" w:w="544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Что говорить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Диагностика</w:t>
            </w:r>
          </w:p>
        </w:tc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от 650 000 руб.</w:t>
            </w:r>
          </w:p>
        </w:tc>
        <w:tc>
          <w:tcPr>
            <w:tcW w:type="dxa" w:w="544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платный вход, проверка текущего стратегическо-операционного контура, карта разрывов и вердикт следующего шага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Сессия</w:t>
            </w:r>
          </w:p>
        </w:tc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от 1 500 000 руб.</w:t>
            </w:r>
          </w:p>
        </w:tc>
        <w:tc>
          <w:tcPr>
            <w:tcW w:type="dxa" w:w="544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сборка рабочего набора моделей и инструментов, мост стратегии и операций, согласованный Спринт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Спринт 30 / 60 / 90</w:t>
            </w:r>
          </w:p>
        </w:tc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от 3 500 000 руб.</w:t>
            </w:r>
          </w:p>
        </w:tc>
        <w:tc>
          <w:tcPr>
            <w:tcW w:type="dxa" w:w="544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проверка решения на ограниченном контуре с владельцами, метриками, ритмом и результатом до / после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Сопровождение</w:t>
            </w:r>
          </w:p>
        </w:tc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от 1 500 000 руб. / мес.</w:t>
            </w:r>
          </w:p>
        </w:tc>
        <w:tc>
          <w:tcPr>
            <w:tcW w:type="dxa" w:w="544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регулярный внешний контур удержания управляемости и защиты от отката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6. Пакеты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231"/>
        <w:gridCol w:w="2154"/>
        <w:gridCol w:w="3005"/>
      </w:tblGrid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5"/>
              </w:rPr>
              <w:t>Пакет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5"/>
              </w:rPr>
              <w:t>Состав</w:t>
            </w:r>
          </w:p>
        </w:tc>
        <w:tc>
          <w:tcPr>
            <w:tcW w:type="dxa" w:w="215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5"/>
              </w:rPr>
              <w:t>Цена</w:t>
            </w:r>
          </w:p>
        </w:tc>
        <w:tc>
          <w:tcPr>
            <w:tcW w:type="dxa" w:w="300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5"/>
              </w:rPr>
              <w:t>Коммерческий смысл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Вход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презентация + первичный разговор</w:t>
            </w:r>
          </w:p>
        </w:tc>
        <w:tc>
          <w:tcPr>
            <w:tcW w:type="dxa" w:w="215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0 руб.</w:t>
            </w:r>
          </w:p>
        </w:tc>
        <w:tc>
          <w:tcPr>
            <w:tcW w:type="dxa" w:w="300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не продавать вслепую; понять масштаб боли и готовность к Диагностике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Диагноз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Диагностика</w:t>
            </w:r>
          </w:p>
        </w:tc>
        <w:tc>
          <w:tcPr>
            <w:tcW w:type="dxa" w:w="215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650 000 - 1 200 000 руб.</w:t>
            </w:r>
          </w:p>
        </w:tc>
        <w:tc>
          <w:tcPr>
            <w:tcW w:type="dxa" w:w="300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получить карту разрывов и честный вердикт Идти дальше / Go, Пауза / Hold или Остановить / Stop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Решение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Диагностика + Сессия</w:t>
            </w:r>
          </w:p>
        </w:tc>
        <w:tc>
          <w:tcPr>
            <w:tcW w:type="dxa" w:w="215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2 100 000 - 3 700 000 руб.</w:t>
            </w:r>
          </w:p>
        </w:tc>
        <w:tc>
          <w:tcPr>
            <w:tcW w:type="dxa" w:w="300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перевести диагноз в рабочий набор, мост и согласованный Спринт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Полный цикл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Диагностика + Сессия + Спринт 30 / 60 / 90</w:t>
            </w:r>
          </w:p>
        </w:tc>
        <w:tc>
          <w:tcPr>
            <w:tcW w:type="dxa" w:w="215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5 500 000 - 9 500 000 руб.</w:t>
            </w:r>
          </w:p>
        </w:tc>
        <w:tc>
          <w:tcPr>
            <w:tcW w:type="dxa" w:w="300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минимальный полноценный цикл: диагноз, решение, проверка на практике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Система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расширенная Диагностика + серия Сессий + расширенный Спринт + 3 месяца сопровождения</w:t>
            </w:r>
          </w:p>
        </w:tc>
        <w:tc>
          <w:tcPr>
            <w:tcW w:type="dxa" w:w="215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15 000 000 - 25 000 000 руб.</w:t>
            </w:r>
          </w:p>
        </w:tc>
        <w:tc>
          <w:tcPr>
            <w:tcW w:type="dxa" w:w="300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пересборка сложного стратегическо-операционного контура с защитой от отката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Контур собственника</w:t>
            </w:r>
          </w:p>
        </w:tc>
        <w:tc>
          <w:tcPr>
            <w:tcW w:type="dxa" w:w="323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расширенный цикл + 6 месяцев сопровождения первого управленческого круга</w:t>
            </w:r>
          </w:p>
        </w:tc>
        <w:tc>
          <w:tcPr>
            <w:tcW w:type="dxa" w:w="215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25 000 000 - 45 000 000 руб.</w:t>
            </w:r>
          </w:p>
        </w:tc>
        <w:tc>
          <w:tcPr>
            <w:tcW w:type="dxa" w:w="300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5"/>
              </w:rPr>
              <w:t>крупные ставки, несколько функций, высокая цена ошибки и необходимость удержания решений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7. Как калибровать цену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Цена растет, если</w:t>
            </w:r>
          </w:p>
        </w:tc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Цена снижается, если</w:t>
            </w:r>
          </w:p>
        </w:tc>
      </w:tr>
      <w:tr>
        <w:trPr>
          <w:cantSplit/>
        </w:trPr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выявлено больше 3 значимых триггеров и требуется серия Сессий</w:t>
            </w:r>
          </w:p>
        </w:tc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есть один ограниченный контур и 1-2 связанных триггера</w:t>
            </w:r>
          </w:p>
        </w:tc>
      </w:tr>
      <w:tr>
        <w:trPr>
          <w:cantSplit/>
        </w:trPr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участвуют несколько функций: операции, финансы, продажи, маркетинг, персонал, информационные технологии</w:t>
            </w:r>
          </w:p>
        </w:tc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у клиента уже есть чистые данные, протоколы решений и владельцы процессов</w:t>
            </w:r>
          </w:p>
        </w:tc>
      </w:tr>
      <w:tr>
        <w:trPr>
          <w:cantSplit/>
        </w:trPr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есть разные версии правды по выручке, марже, запасам, дебиторке, клиенту или производству</w:t>
            </w:r>
          </w:p>
        </w:tc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нужна только Диагностика или Сессия без внедрения</w:t>
            </w:r>
          </w:p>
        </w:tc>
      </w:tr>
      <w:tr>
        <w:trPr>
          <w:cantSplit/>
        </w:trPr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нужно отдельно прорабатывать финансовый интеллект и клиентский интеллект</w:t>
            </w:r>
          </w:p>
        </w:tc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финансовый и клиентский контур уже формализованы и подтверждены данными</w:t>
            </w:r>
          </w:p>
        </w:tc>
      </w:tr>
      <w:tr>
        <w:trPr>
          <w:cantSplit/>
        </w:trPr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есть несколько площадок, каналов, юридических лиц или управленческих центров</w:t>
            </w:r>
          </w:p>
        </w:tc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работа идет на одной площадке и с одним управленческим владельцем</w:t>
            </w:r>
          </w:p>
        </w:tc>
      </w:tr>
      <w:tr>
        <w:trPr>
          <w:cantSplit/>
        </w:trPr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высокий риск отката после Спринта</w:t>
            </w:r>
          </w:p>
        </w:tc>
        <w:tc>
          <w:tcPr>
            <w:tcW w:type="dxa" w:w="5103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у клиента сильный внутренний руководитель внедрения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8. Гарантии и риск-реверс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4252"/>
      </w:tblGrid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Формат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Что гарантируется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Что не гарантируется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Диагностика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карта текущего контура, проблемная единица, триггеры, функции, вердикт следующего шага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что Сессия обязательно нужна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Сессия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выбранный рабочий набор, мост стратегии и операций, согласованный Спринт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что команда сразу изменит поведение без проверки на практике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Спринт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метрики до / после, владельцы, ритм управления, проверка решения на ограниченном контуре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рост выручки, маржи или клиентской лояльности без выполнения действий клиента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Сопровождение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согласованные касания, проверка метрик, корректировка контура и защита от отката</w:t>
            </w:r>
          </w:p>
        </w:tc>
        <w:tc>
          <w:tcPr>
            <w:tcW w:type="dxa" w:w="425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замена менеджмента клиента или ответственность за решения собственника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9. Жесткие правила продажи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6747"/>
      </w:tblGrid>
      <w:tr>
        <w:trPr>
          <w:cantSplit/>
        </w:trPr>
        <w:tc>
          <w:tcPr>
            <w:tcW w:type="dxa" w:w="345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Правило</w:t>
            </w:r>
          </w:p>
        </w:tc>
        <w:tc>
          <w:tcPr>
            <w:tcW w:type="dxa" w:w="674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Почему</w:t>
            </w:r>
          </w:p>
        </w:tc>
      </w:tr>
      <w:tr>
        <w:trPr>
          <w:cantSplit/>
        </w:trPr>
        <w:tc>
          <w:tcPr>
            <w:tcW w:type="dxa" w:w="345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Диагностика всегда платная</w:t>
            </w:r>
          </w:p>
        </w:tc>
        <w:tc>
          <w:tcPr>
            <w:tcW w:type="dxa" w:w="674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иначе клиент просит бесплатный аудит, но не берет ответственность за данные и решения</w:t>
            </w:r>
          </w:p>
        </w:tc>
      </w:tr>
      <w:tr>
        <w:trPr>
          <w:cantSplit/>
        </w:trPr>
        <w:tc>
          <w:tcPr>
            <w:tcW w:type="dxa" w:w="345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продавать Сессию без диагноза</w:t>
            </w:r>
          </w:p>
        </w:tc>
        <w:tc>
          <w:tcPr>
            <w:tcW w:type="dxa" w:w="674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Сессия без диагноза превращается в шум и красивую групповую беседу</w:t>
            </w:r>
          </w:p>
        </w:tc>
      </w:tr>
      <w:tr>
        <w:trPr>
          <w:cantSplit/>
        </w:trPr>
        <w:tc>
          <w:tcPr>
            <w:tcW w:type="dxa" w:w="345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брать больше 3 триггеров в одну Сессию</w:t>
            </w:r>
          </w:p>
        </w:tc>
        <w:tc>
          <w:tcPr>
            <w:tcW w:type="dxa" w:w="674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иначе команда теряет фокус, а технология превращается в перегруженный разговор обо всем</w:t>
            </w:r>
          </w:p>
        </w:tc>
      </w:tr>
      <w:tr>
        <w:trPr>
          <w:cantSplit/>
        </w:trPr>
        <w:tc>
          <w:tcPr>
            <w:tcW w:type="dxa" w:w="345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продавать инструменты отдельно как главный продукт</w:t>
            </w:r>
          </w:p>
        </w:tc>
        <w:tc>
          <w:tcPr>
            <w:tcW w:type="dxa" w:w="674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без проблемной единицы, моста и владельцев инструмент становится таблицей, а не технологией</w:t>
            </w:r>
          </w:p>
        </w:tc>
      </w:tr>
      <w:tr>
        <w:trPr>
          <w:cantSplit/>
        </w:trPr>
        <w:tc>
          <w:tcPr>
            <w:tcW w:type="dxa" w:w="345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обещать финансовый результат до Диагностики</w:t>
            </w:r>
          </w:p>
        </w:tc>
        <w:tc>
          <w:tcPr>
            <w:tcW w:type="dxa" w:w="674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деньги можно обсуждать после проверки данных, контура и цены разрыва</w:t>
            </w:r>
          </w:p>
        </w:tc>
      </w:tr>
      <w:tr>
        <w:trPr>
          <w:cantSplit/>
        </w:trPr>
        <w:tc>
          <w:tcPr>
            <w:tcW w:type="dxa" w:w="345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продолжать проект при вердикте Остановить / Stop</w:t>
            </w:r>
          </w:p>
        </w:tc>
        <w:tc>
          <w:tcPr>
            <w:tcW w:type="dxa" w:w="674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технология должна защищать клиента и консультанта от имитации внедрения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10. Для кого не подходит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10"/>
      </w:tblGrid>
      <w:tr>
        <w:trPr>
          <w:cantSplit/>
        </w:trPr>
        <w:tc>
          <w:tcPr>
            <w:tcW w:type="dxa" w:w="419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Не подходит, если клиент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Решение</w:t>
            </w:r>
          </w:p>
        </w:tc>
      </w:tr>
      <w:tr>
        <w:trPr>
          <w:cantSplit/>
        </w:trPr>
        <w:tc>
          <w:tcPr>
            <w:tcW w:type="dxa" w:w="419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хочет бесплатную Диагностику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начинать проект</w:t>
            </w:r>
          </w:p>
        </w:tc>
      </w:tr>
      <w:tr>
        <w:trPr>
          <w:cantSplit/>
        </w:trPr>
        <w:tc>
          <w:tcPr>
            <w:tcW w:type="dxa" w:w="419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готов раскрывать данные по выручке, марже, запасам, дебиторке, клиенту и решениям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обещать вывод</w:t>
            </w:r>
          </w:p>
        </w:tc>
      </w:tr>
      <w:tr>
        <w:trPr>
          <w:cantSplit/>
        </w:trPr>
        <w:tc>
          <w:tcPr>
            <w:tcW w:type="dxa" w:w="419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ищет красивую стратегическую сессию без внедрения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продавать Сессию как самостоятельное шоу</w:t>
            </w:r>
          </w:p>
        </w:tc>
      </w:tr>
      <w:tr>
        <w:trPr>
          <w:cantSplit/>
        </w:trPr>
        <w:tc>
          <w:tcPr>
            <w:tcW w:type="dxa" w:w="419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хочет подтвердить уже принятое решение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вернуть к Диагностике или отказаться</w:t>
            </w:r>
          </w:p>
        </w:tc>
      </w:tr>
      <w:tr>
        <w:trPr>
          <w:cantSplit/>
        </w:trPr>
        <w:tc>
          <w:tcPr>
            <w:tcW w:type="dxa" w:w="419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готов назначать владельцев решений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ставить Пауза / Hold</w:t>
            </w:r>
          </w:p>
        </w:tc>
      </w:tr>
      <w:tr>
        <w:trPr>
          <w:cantSplit/>
        </w:trPr>
        <w:tc>
          <w:tcPr>
            <w:tcW w:type="dxa" w:w="419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ожидает, что консультант заменит руководителей и примет решения вместо компании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объяснить границы технологии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11. Как показывать цену на сайте и в продаже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536"/>
        <w:gridCol w:w="3345"/>
      </w:tblGrid>
      <w:tr>
        <w:trPr>
          <w:cantSplit/>
        </w:trPr>
        <w:tc>
          <w:tcPr>
            <w:tcW w:type="dxa" w:w="232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Место</w:t>
            </w:r>
          </w:p>
        </w:tc>
        <w:tc>
          <w:tcPr>
            <w:tcW w:type="dxa" w:w="453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Что показывать</w:t>
            </w:r>
          </w:p>
        </w:tc>
        <w:tc>
          <w:tcPr>
            <w:tcW w:type="dxa" w:w="334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Что не делать</w:t>
            </w:r>
          </w:p>
        </w:tc>
      </w:tr>
      <w:tr>
        <w:trPr>
          <w:cantSplit/>
        </w:trPr>
        <w:tc>
          <w:tcPr>
            <w:tcW w:type="dxa" w:w="232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Первый экран</w:t>
            </w:r>
          </w:p>
        </w:tc>
        <w:tc>
          <w:tcPr>
            <w:tcW w:type="dxa" w:w="453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проблему разрыва стратегии и операций, обещание диагностики и запрос презентации</w:t>
            </w:r>
          </w:p>
        </w:tc>
        <w:tc>
          <w:tcPr>
            <w:tcW w:type="dxa" w:w="334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начинать с полной таблицы цен</w:t>
            </w:r>
          </w:p>
        </w:tc>
      </w:tr>
      <w:tr>
        <w:trPr>
          <w:cantSplit/>
        </w:trPr>
        <w:tc>
          <w:tcPr>
            <w:tcW w:type="dxa" w:w="232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Страница технологии</w:t>
            </w:r>
          </w:p>
        </w:tc>
        <w:tc>
          <w:tcPr>
            <w:tcW w:type="dxa" w:w="453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логику Диагностика → Сессия → Спринт → Сопровождение и вердикты Идти дальше / Go, Пауза / Hold, Остановить / Stop</w:t>
            </w:r>
          </w:p>
        </w:tc>
        <w:tc>
          <w:tcPr>
            <w:tcW w:type="dxa" w:w="334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обещать универсальное лечение для любой компании</w:t>
            </w:r>
          </w:p>
        </w:tc>
      </w:tr>
      <w:tr>
        <w:trPr>
          <w:cantSplit/>
        </w:trPr>
        <w:tc>
          <w:tcPr>
            <w:tcW w:type="dxa" w:w="232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Страница продуктов</w:t>
            </w:r>
          </w:p>
        </w:tc>
        <w:tc>
          <w:tcPr>
            <w:tcW w:type="dxa" w:w="453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диапазоны цен, сроки, результат и критерии применения каждого формата</w:t>
            </w:r>
          </w:p>
        </w:tc>
        <w:tc>
          <w:tcPr>
            <w:tcW w:type="dxa" w:w="334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продавать часы или “день сессии”</w:t>
            </w:r>
          </w:p>
        </w:tc>
      </w:tr>
      <w:tr>
        <w:trPr>
          <w:cantSplit/>
        </w:trPr>
        <w:tc>
          <w:tcPr>
            <w:tcW w:type="dxa" w:w="232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Коммерческое предложение</w:t>
            </w:r>
          </w:p>
        </w:tc>
        <w:tc>
          <w:tcPr>
            <w:tcW w:type="dxa" w:w="453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сначала цену разрыва, затем формат и цену проекта</w:t>
            </w:r>
          </w:p>
        </w:tc>
        <w:tc>
          <w:tcPr>
            <w:tcW w:type="dxa" w:w="334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давать скидку до понимания масштаба проблемы</w:t>
            </w:r>
          </w:p>
        </w:tc>
      </w:tr>
      <w:tr>
        <w:trPr>
          <w:cantSplit/>
        </w:trPr>
        <w:tc>
          <w:tcPr>
            <w:tcW w:type="dxa" w:w="232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Переговоры о цене</w:t>
            </w:r>
          </w:p>
        </w:tc>
        <w:tc>
          <w:tcPr>
            <w:tcW w:type="dxa" w:w="453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объяснять, что цена зависит от числа триггеров, функций, данных и риска отката</w:t>
            </w:r>
          </w:p>
        </w:tc>
        <w:tc>
          <w:tcPr>
            <w:tcW w:type="dxa" w:w="334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спорить о цене без рамки ценности</w:t>
            </w:r>
          </w:p>
        </w:tc>
      </w:tr>
    </w:tbl>
    <w:p>
      <w:pPr>
        <w:spacing w:after="40"/>
      </w:pPr>
    </w:p>
    <w:p>
      <w:pPr>
        <w:spacing w:before="200" w:after="100"/>
        <w:pageBreakBefore/>
      </w:pPr>
      <w:r>
        <w:rPr>
          <w:rFonts w:ascii="Arial" w:hAnsi="Arial" w:eastAsia="Arial"/>
          <w:b/>
          <w:color w:val="2F7DBD"/>
          <w:sz w:val="30"/>
        </w:rPr>
        <w:t>12. Итоговая рекомендация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</w:trPr>
        <w:tc>
          <w:tcPr>
            <w:tcW w:type="dxa" w:w="1020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2E8"/>
          </w:tcPr>
          <w:p>
            <w:r>
              <w:rPr>
                <w:rFonts w:ascii="Arial" w:hAnsi="Arial"/>
              </w:rPr>
              <w:t>Публичная лестница: Диагностика от 650 000 руб.; Сессия от 1 500 000 руб.; Спринт 30 / 60 / 90 от 3 500 000 руб.; Сопровождение от 1 500 000 руб. / мес. Коммерческий стандарт: сначала доказать цену разрыва, затем предлагать формат.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 w:eastAsia="Arial"/>
          <w:b/>
          <w:color w:val="2F7DBD"/>
          <w:sz w:val="30"/>
        </w:rPr>
        <w:t>13. Коммерческая проверка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041"/>
        <w:gridCol w:w="5896"/>
      </w:tblGrid>
      <w:tr>
        <w:trPr>
          <w:cantSplit/>
        </w:trPr>
        <w:tc>
          <w:tcPr>
            <w:tcW w:type="dxa" w:w="2268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Роль проверки</w:t>
            </w:r>
          </w:p>
        </w:tc>
        <w:tc>
          <w:tcPr>
            <w:tcW w:type="dxa" w:w="2041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Вердикт</w:t>
            </w:r>
          </w:p>
        </w:tc>
        <w:tc>
          <w:tcPr>
            <w:tcW w:type="dxa" w:w="5896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Коммерческий владелец</w:t>
            </w:r>
          </w:p>
        </w:tc>
        <w:tc>
          <w:tcPr>
            <w:tcW w:type="dxa" w:w="204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Идти дальше / Go</w:t>
            </w:r>
          </w:p>
        </w:tc>
        <w:tc>
          <w:tcPr>
            <w:tcW w:type="dxa" w:w="589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лестница входа понятна: Диагностика не бесплатная, полный цикл не маскируется под сессию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Финансовый скептик</w:t>
            </w:r>
          </w:p>
        </w:tc>
        <w:tc>
          <w:tcPr>
            <w:tcW w:type="dxa" w:w="204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Идти дальше / Go с условием</w:t>
            </w:r>
          </w:p>
        </w:tc>
        <w:tc>
          <w:tcPr>
            <w:tcW w:type="dxa" w:w="589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в каждом предложении надо считать цену разрыва и показывать диапазон экономического риска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Методолог</w:t>
            </w:r>
          </w:p>
        </w:tc>
        <w:tc>
          <w:tcPr>
            <w:tcW w:type="dxa" w:w="204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Идти дальше / Go</w:t>
            </w:r>
          </w:p>
        </w:tc>
        <w:tc>
          <w:tcPr>
            <w:tcW w:type="dxa" w:w="589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цена поддерживает логику технологии: диагноз, рабочий набор, мост, спринт, сопровождение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Собственник</w:t>
            </w:r>
          </w:p>
        </w:tc>
        <w:tc>
          <w:tcPr>
            <w:tcW w:type="dxa" w:w="204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Идти дальше / Go</w:t>
            </w:r>
          </w:p>
        </w:tc>
        <w:tc>
          <w:tcPr>
            <w:tcW w:type="dxa" w:w="5896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есть понятная рамка: что компания получает, где стоп-линия и почему нельзя покупать только красивую встречу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79" w:right="850" w:bottom="822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A838D"/>
        <w:sz w:val="16"/>
      </w:rPr>
      <w:t>проSTRAнство · продукты, сроки и цены · v0.3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F34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