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D78"/>
          <w:sz w:val="44"/>
        </w:rPr>
        <w:t>проSTRAнство</w:t>
      </w:r>
    </w:p>
    <w:p>
      <w:r>
        <w:rPr>
          <w:rFonts w:ascii="Calibri" w:hAnsi="Calibri"/>
          <w:color w:val="4B5563"/>
          <w:sz w:val="28"/>
        </w:rPr>
        <w:t>протокол квалификации v1.0</w:t>
      </w:r>
    </w:p>
    <w:p>
      <w:r>
        <w:rPr>
          <w:rFonts w:ascii="Calibri" w:hAnsi="Calibri"/>
          <w:color w:val="4B5563"/>
          <w:sz w:val="21"/>
        </w:rPr>
        <w:t>P1C: фильтр до продажи платной Диагностики</w:t>
      </w:r>
    </w:p>
    <w:tbl>
      <w:tblPr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9900"/>
      </w:tblGrid>
      <w:tr>
        <w:tc>
          <w:tcPr>
            <w:tcW w:type="dxa" w:w="9900"/>
            <w:shd w:fill="F4F6F9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Назначение. </w:t>
            </w:r>
            <w:r>
              <w:t>Протокол помогает решить, можно ли предлагать клиенту Диагностику. Квалификация продает не интерес к технологии, а право клиента войти в платную Диагностику. Она не решает проблему бесплатно и не продает Сессию вместо Диагностики.</w:t>
            </w:r>
          </w:p>
        </w:tc>
      </w:tr>
    </w:tbl>
    <w:p/>
    <w:p>
      <w:pPr>
        <w:pStyle w:val="Heading1"/>
      </w:pPr>
      <w:r>
        <w:t>1. Что проверяем до Диагностики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2200"/>
        <w:gridCol w:w="5100"/>
        <w:gridCol w:w="2600"/>
      </w:tblGrid>
      <w:tr>
        <w:tc>
          <w:tcPr>
            <w:tcW w:type="dxa" w:w="22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Критерий</w:t>
            </w:r>
          </w:p>
        </w:tc>
        <w:tc>
          <w:tcPr>
            <w:tcW w:type="dxa" w:w="51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Что проверить</w:t>
            </w:r>
          </w:p>
        </w:tc>
        <w:tc>
          <w:tcPr>
            <w:tcW w:type="dxa" w:w="26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Стоп-сигнал</w:t>
            </w:r>
          </w:p>
        </w:tc>
      </w:tr>
      <w:tr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Управленческая боль</w:t>
            </w:r>
          </w:p>
        </w:tc>
        <w:tc>
          <w:tcPr>
            <w:tcW w:type="dxa" w:w="5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есть проблема, влияющая на результат, деньги, клиента, скорость, качество или риск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нет боли, есть только интерес к методологии</w:t>
            </w:r>
          </w:p>
        </w:tc>
      </w:tr>
      <w:tr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Лицо решения</w:t>
            </w:r>
          </w:p>
        </w:tc>
        <w:tc>
          <w:tcPr>
            <w:tcW w:type="dxa" w:w="5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есть собственник, генеральный директор или владелец контура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разговор идет только с наблюдателем без мандата</w:t>
            </w:r>
          </w:p>
        </w:tc>
      </w:tr>
      <w:tr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Доступ к данным</w:t>
            </w:r>
          </w:p>
        </w:tc>
        <w:tc>
          <w:tcPr>
            <w:tcW w:type="dxa" w:w="5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клиент готов показать факты, отчеты, метрики, документы, интервью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данные скрываются или заменяются общими словами</w:t>
            </w:r>
          </w:p>
        </w:tc>
      </w:tr>
      <w:tr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Готовность вскрывать разрывы</w:t>
            </w:r>
          </w:p>
        </w:tc>
        <w:tc>
          <w:tcPr>
            <w:tcW w:type="dxa" w:w="5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команда готова обсуждать не только сформулированные, но и скрытые проблемы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клиент хочет подтверждения, что у него все хорошо</w:t>
            </w:r>
          </w:p>
        </w:tc>
      </w:tr>
      <w:tr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Экономический контур</w:t>
            </w:r>
          </w:p>
        </w:tc>
        <w:tc>
          <w:tcPr>
            <w:tcW w:type="dxa" w:w="5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понятно, где проблема связана с маржей, деньгами, клиентом, операциями или риском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нет связи с результатом</w:t>
            </w:r>
          </w:p>
        </w:tc>
      </w:tr>
      <w:tr>
        <w:tc>
          <w:tcPr>
            <w:tcW w:type="dxa" w:w="2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Готовность платить за Диагностику</w:t>
            </w:r>
          </w:p>
        </w:tc>
        <w:tc>
          <w:tcPr>
            <w:tcW w:type="dxa" w:w="51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клиент понимает ценность диагноза и права остановки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ждет бесплатный план внедрения</w:t>
            </w:r>
          </w:p>
        </w:tc>
      </w:tr>
    </w:tbl>
    <w:p/>
    <w:p>
      <w:pPr>
        <w:pStyle w:val="Heading1"/>
      </w:pPr>
      <w:r>
        <w:t>2. Шкала допуска</w:t>
      </w:r>
    </w:p>
    <w:p>
      <w:r>
        <w:t>Каждый критерий оценивается от 0 до 3. Максимум - 18 баллов. Решение остается человеческим, но опирается на расчет.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1600"/>
        <w:gridCol w:w="2600"/>
        <w:gridCol w:w="5700"/>
      </w:tblGrid>
      <w:tr>
        <w:tc>
          <w:tcPr>
            <w:tcW w:type="dxa" w:w="16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Сумма</w:t>
            </w:r>
          </w:p>
        </w:tc>
        <w:tc>
          <w:tcPr>
            <w:tcW w:type="dxa" w:w="26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Вердикт</w:t>
            </w:r>
          </w:p>
        </w:tc>
        <w:tc>
          <w:tcPr>
            <w:tcW w:type="dxa" w:w="57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Что делать</w:t>
            </w:r>
          </w:p>
        </w:tc>
      </w:tr>
      <w:tr>
        <w:tc>
          <w:tcPr>
            <w:tcW w:type="dxa" w:w="1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15-18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допуск к Диагностике</w:t>
            </w:r>
          </w:p>
        </w:tc>
        <w:tc>
          <w:tcPr>
            <w:tcW w:type="dxa" w:w="5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назначать платную Диагностику</w:t>
            </w:r>
          </w:p>
        </w:tc>
      </w:tr>
      <w:tr>
        <w:tc>
          <w:tcPr>
            <w:tcW w:type="dxa" w:w="1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12-14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допуск с условиями</w:t>
            </w:r>
          </w:p>
        </w:tc>
        <w:tc>
          <w:tcPr>
            <w:tcW w:type="dxa" w:w="5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закрыть условия: лицо решения, данные, участники или рамка</w:t>
            </w:r>
          </w:p>
        </w:tc>
      </w:tr>
      <w:tr>
        <w:tc>
          <w:tcPr>
            <w:tcW w:type="dxa" w:w="1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7-11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удержать / Hold</w:t>
            </w:r>
          </w:p>
        </w:tc>
        <w:tc>
          <w:tcPr>
            <w:tcW w:type="dxa" w:w="5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не продавать Диагностику сейчас, подготовить клиента</w:t>
            </w:r>
          </w:p>
        </w:tc>
      </w:tr>
      <w:tr>
        <w:tc>
          <w:tcPr>
            <w:tcW w:type="dxa" w:w="1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0-6</w:t>
            </w:r>
          </w:p>
        </w:tc>
        <w:tc>
          <w:tcPr>
            <w:tcW w:type="dxa" w:w="26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отказ / Stop</w:t>
            </w:r>
          </w:p>
        </w:tc>
        <w:tc>
          <w:tcPr>
            <w:tcW w:type="dxa" w:w="5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технология сейчас не подходит или разговор невозможен</w:t>
            </w:r>
          </w:p>
        </w:tc>
      </w:tr>
    </w:tbl>
    <w:p/>
    <w:p>
      <w:pPr>
        <w:pStyle w:val="Heading1"/>
      </w:pPr>
      <w:r>
        <w:t>3. Вопросы квалификации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8000"/>
      </w:tblGrid>
      <w:tr>
        <w:tc>
          <w:tcPr>
            <w:tcW w:type="dxa" w:w="19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Блок</w:t>
            </w:r>
          </w:p>
        </w:tc>
        <w:tc>
          <w:tcPr>
            <w:tcW w:type="dxa" w:w="80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Вопросы</w:t>
            </w:r>
          </w:p>
        </w:tc>
      </w:tr>
      <w:tr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Боль</w:t>
            </w:r>
          </w:p>
        </w:tc>
        <w:tc>
          <w:tcPr>
            <w:tcW w:type="dxa" w:w="80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Что именно перестало получаться? Где это видно в результате? Почему это важно сейчас?</w:t>
            </w:r>
          </w:p>
        </w:tc>
      </w:tr>
      <w:tr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Факты</w:t>
            </w:r>
          </w:p>
        </w:tc>
        <w:tc>
          <w:tcPr>
            <w:tcW w:type="dxa" w:w="80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Какие данные это подтверждают? Что спорно? Где разные версии правды?</w:t>
            </w:r>
          </w:p>
        </w:tc>
      </w:tr>
      <w:tr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Мандат</w:t>
            </w:r>
          </w:p>
        </w:tc>
        <w:tc>
          <w:tcPr>
            <w:tcW w:type="dxa" w:w="80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Кто принимает решение? Кто владеет проблемой? Кто должен участвовать в Диагностике?</w:t>
            </w:r>
          </w:p>
        </w:tc>
      </w:tr>
      <w:tr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Ожидание</w:t>
            </w:r>
          </w:p>
        </w:tc>
        <w:tc>
          <w:tcPr>
            <w:tcW w:type="dxa" w:w="80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Что вы хотите получить: диагноз, Сессию, план внедрения, подтверждение своей версии?</w:t>
            </w:r>
          </w:p>
        </w:tc>
      </w:tr>
      <w:tr>
        <w:tc>
          <w:tcPr>
            <w:tcW w:type="dxa" w:w="19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Границы</w:t>
            </w:r>
          </w:p>
        </w:tc>
        <w:tc>
          <w:tcPr>
            <w:tcW w:type="dxa" w:w="80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Что нельзя трогать? Где есть ограничения по людям, данным, срокам, политике или бюджету?</w:t>
            </w:r>
          </w:p>
        </w:tc>
      </w:tr>
    </w:tbl>
    <w:p/>
    <w:p>
      <w:pPr>
        <w:pStyle w:val="Heading1"/>
      </w:pPr>
      <w:r>
        <w:t>4. Стоп-линии</w:t>
      </w:r>
    </w:p>
    <w:p>
      <w:pPr>
        <w:pStyle w:val="ListBullet"/>
        <w:spacing w:after="60"/>
      </w:pPr>
      <w:r>
        <w:t>Не проводить бесплатную мини-стратегию.</w:t>
      </w:r>
    </w:p>
    <w:p>
      <w:pPr>
        <w:pStyle w:val="ListBullet"/>
        <w:spacing w:after="60"/>
      </w:pPr>
      <w:r>
        <w:t>Не продавать Сессию до Диагностики.</w:t>
      </w:r>
    </w:p>
    <w:p>
      <w:pPr>
        <w:pStyle w:val="ListBullet"/>
        <w:spacing w:after="60"/>
      </w:pPr>
      <w:r>
        <w:t>Не обещать план внедрения на входе.</w:t>
      </w:r>
    </w:p>
    <w:p>
      <w:pPr>
        <w:pStyle w:val="ListBullet"/>
        <w:spacing w:after="60"/>
      </w:pPr>
      <w:r>
        <w:t>Не заходить, если нет мандата, владельца, данных или готовности вскрывать разрывы.</w:t>
      </w:r>
    </w:p>
    <w:p>
      <w:pPr>
        <w:pStyle w:val="ListBullet"/>
        <w:spacing w:after="60"/>
      </w:pPr>
      <w:r>
        <w:t>Не использовать каталог моделей как аргумент продажи.</w:t>
      </w:r>
    </w:p>
    <w:p>
      <w:pPr>
        <w:pStyle w:val="Heading1"/>
      </w:pPr>
      <w:r>
        <w:t>5. Выход протокола</w:t>
      </w:r>
    </w:p>
    <w:tbl>
      <w:tblPr>
        <w:tblStyle w:val="TableGrid"/>
        <w:tblW w:type="dxa" w:w="9900"/>
        <w:jc w:val="left"/>
        <w:tblLook w:firstColumn="1" w:firstRow="1" w:lastColumn="0" w:lastRow="0" w:noHBand="0" w:noVBand="1" w:val="04A0"/>
        <w:tblInd w:w="120" w:type="dxa"/>
      </w:tblPr>
      <w:tblGrid>
        <w:gridCol w:w="2700"/>
        <w:gridCol w:w="7200"/>
      </w:tblGrid>
      <w:tr>
        <w:tc>
          <w:tcPr>
            <w:tcW w:type="dxa" w:w="27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Выход</w:t>
            </w:r>
          </w:p>
        </w:tc>
        <w:tc>
          <w:tcPr>
            <w:tcW w:type="dxa" w:w="7200"/>
            <w:shd w:fill="E8EEF5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7"/>
              </w:rPr>
              <w:t>Что фиксируется</w:t>
            </w:r>
          </w:p>
        </w:tc>
      </w:tr>
      <w:tr>
        <w:tc>
          <w:tcPr>
            <w:tcW w:type="dxa" w:w="2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Квалификационный вердикт</w:t>
            </w:r>
          </w:p>
        </w:tc>
        <w:tc>
          <w:tcPr>
            <w:tcW w:type="dxa" w:w="7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допуск, допуск с условиями, удержать или отказ</w:t>
            </w:r>
          </w:p>
        </w:tc>
      </w:tr>
      <w:tr>
        <w:tc>
          <w:tcPr>
            <w:tcW w:type="dxa" w:w="2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Условия Диагностики</w:t>
            </w:r>
          </w:p>
        </w:tc>
        <w:tc>
          <w:tcPr>
            <w:tcW w:type="dxa" w:w="7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участники, данные, сроки, границы, лицо решения</w:t>
            </w:r>
          </w:p>
        </w:tc>
      </w:tr>
      <w:tr>
        <w:tc>
          <w:tcPr>
            <w:tcW w:type="dxa" w:w="27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Коммерческое решение</w:t>
            </w:r>
          </w:p>
        </w:tc>
        <w:tc>
          <w:tcPr>
            <w:tcW w:type="dxa" w:w="7200"/>
            <w:tcBorders>
              <w:top w:val="single" w:sz="4" w:space="0" w:color="B7C9DA"/>
              <w:left w:val="single" w:sz="4" w:space="0" w:color="B7C9DA"/>
              <w:bottom w:val="single" w:sz="4" w:space="0" w:color="B7C9DA"/>
              <w:right w:val="single" w:sz="4" w:space="0" w:color="B7C9DA"/>
              <w:insideH w:val="single" w:sz="4" w:space="0" w:color="B7C9DA"/>
              <w:insideV w:val="single" w:sz="4" w:space="0" w:color="B7C9DA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предлагать Диагностику, вернуться позже или отказать</w:t>
            </w:r>
          </w:p>
        </w:tc>
      </w:tr>
    </w:tbl>
    <w:p/>
    <w:sectPr w:rsidR="00FC693F" w:rsidRPr="0006063C" w:rsidSect="00034616">
      <w:pgSz w:w="11909" w:h="16834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proSTRANSTVO Протокол Квалификации v1.0.docx</dc:title>
  <dc:subject>P1C qualification</dc:subject>
  <dc:creator>проSTRAнство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