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0"/>
        </w:rPr>
        <w:t>Редакторский чек-лист проSTRAнства v1.0</w:t>
      </w:r>
    </w:p>
    <w:p>
      <w:r>
        <w:rPr>
          <w:rFonts w:ascii="Calibri" w:hAnsi="Calibri"/>
          <w:color w:val="5B6770"/>
          <w:sz w:val="21"/>
        </w:rPr>
        <w:t>Контроль перед передачей текста клиенту, продавцу, проводнику или публикацией.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 xml:space="preserve">Статус. </w:t>
            </w:r>
            <w:r>
              <w:rPr>
                <w:rFonts w:ascii="Calibri" w:hAnsi="Calibri"/>
                <w:color w:val="1F2933"/>
                <w:sz w:val="18"/>
              </w:rPr>
              <w:t>Мини-релиз v0.4.1. Документ закрывает релизный хвост и не переписывает фундамент технологии.</w:t>
            </w:r>
          </w:p>
        </w:tc>
      </w:tr>
    </w:tbl>
    <w:p/>
    <w:p>
      <w:pPr>
        <w:pStyle w:val="Heading1"/>
      </w:pPr>
      <w:r>
        <w:t>1. Назначение</w:t>
      </w:r>
    </w:p>
    <w:p>
      <w:r>
        <w:t>Чек-лист нужен, чтобы текст не потерял механизм технологии при упрощении, продаже или редактуре.</w:t>
      </w:r>
    </w:p>
    <w:p>
      <w:pPr>
        <w:pStyle w:val="Heading1"/>
      </w:pPr>
      <w:r>
        <w:t>2. Обязательные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4989"/>
        <w:gridCol w:w="4989"/>
      </w:tblGrid>
      <w:tr>
        <w:tc>
          <w:tcPr>
            <w:tcW w:type="dxa" w:w="3572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Проверка</w:t>
            </w:r>
          </w:p>
        </w:tc>
        <w:tc>
          <w:tcPr>
            <w:tcW w:type="dxa" w:w="6406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Критерий приемки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Название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Публично используется проSTRAнство; proSTRANSTVO_ только в именах файлов.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Диагностика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Показана как обязательный платный вход.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Сессия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Не продается автоматически и не является первым продуктом.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Спринт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Не запускается без Сессии, рабочего набора и моста.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Сопровождение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Не продается без объекта сопровождения.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Ядро 115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Не используется как клиентское обещание, меню выбора или рекламный аргумент.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Запрещенная количественная формула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Нет формулировки, которая выдает ядро 115 за операционный каталог.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Искусственный интеллект / AI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Не выделен отдельной функцией; только внутри информационных технологий / IT.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Английские термины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Не стоят без русского пояснения через /.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Go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Используется только в связке переходить к Сессии / Go.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Категория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Текст не превращает технологию в аудит, стратегическую сессию, каталог моделей, проектный офис или тренинг.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Обещания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Есть рамка: что даем и чего не обещаем.</w:t>
            </w:r>
          </w:p>
        </w:tc>
      </w:tr>
    </w:tbl>
    <w:p/>
    <w:p>
      <w:pPr>
        <w:pStyle w:val="Heading1"/>
      </w:pPr>
      <w:r>
        <w:t>3. Вердикт редактора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3326"/>
        <w:gridCol w:w="3326"/>
        <w:gridCol w:w="3326"/>
      </w:tblGrid>
      <w:tr>
        <w:tc>
          <w:tcPr>
            <w:tcW w:type="dxa" w:w="1814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Вердикт</w:t>
            </w:r>
          </w:p>
        </w:tc>
        <w:tc>
          <w:tcPr>
            <w:tcW w:type="dxa" w:w="4535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Когда ставится</w:t>
            </w:r>
          </w:p>
        </w:tc>
        <w:tc>
          <w:tcPr>
            <w:tcW w:type="dxa" w:w="3628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Действие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принять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механизм сохранен, правила языка соблюдены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передать дальше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вернуть на правку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есть нарушения языка, обещаний или продуктовой лестницы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исправить и проверить повторно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остановить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текст подменяет технологию другой категорией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не передавать клиенту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978"/>
      </w:tblGrid>
      <w:tr>
        <w:tc>
          <w:tcPr>
            <w:tcW w:type="dxa" w:w="9978"/>
            <w:shd w:fill="FFF4C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 xml:space="preserve">Правило. </w:t>
            </w:r>
            <w:r>
              <w:rPr>
                <w:rFonts w:ascii="Calibri" w:hAnsi="Calibri"/>
                <w:color w:val="1F2933"/>
                <w:sz w:val="18"/>
              </w:rPr>
              <w:t>Редактор не улучшает текст ценой потери механизма. Сначала смысл, потом гладкость.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Диагностика - обязательный платный вход. Сессия не продается автоматически.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проSTRAнство | v0.4.1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Calibri" w:hAnsi="Calibri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