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80" w:after="40"/>
      </w:pPr>
      <w:r>
        <w:rPr>
          <w:rFonts w:ascii="Calibri" w:hAnsi="Calibri"/>
          <w:b/>
          <w:color w:val="0B2545"/>
          <w:sz w:val="56"/>
        </w:rPr>
        <w:t>проSTRAнство</w:t>
      </w:r>
    </w:p>
    <w:p>
      <w:pPr>
        <w:spacing w:after="360"/>
      </w:pPr>
      <w:r>
        <w:rPr>
          <w:rFonts w:ascii="Calibri" w:hAnsi="Calibri"/>
          <w:b/>
          <w:color w:val="2F6F73"/>
          <w:sz w:val="30"/>
        </w:rPr>
        <w:t>описание технологии / Technology Guide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Назначение документа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Описание технологии v0.2 закрепляет строгую логику: проблема формализуется, затем выбирается стратегия, затем только канонический инструмент проходит в мост / Bridge и Спринт.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2721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Параметр</w:t>
            </w:r>
          </w:p>
        </w:tc>
        <w:tc>
          <w:tcPr>
            <w:tcW w:type="dxa" w:w="669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Статус</w:t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восстановительная сборка / Recovery Build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исправлено</w:t>
            </w:r>
          </w:p>
        </w:tc>
        <w:tc>
          <w:tcPr>
            <w:tcW w:type="dxa" w:w="669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счетчики, дубли, FIN/CUSTOMER, AI</w:t>
            </w:r>
          </w:p>
        </w:tc>
      </w:tr>
      <w:tr>
        <w:tc>
          <w:tcPr>
            <w:tcW w:type="dxa" w:w="2721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Рабочее ядро</w:t>
            </w:r>
          </w:p>
        </w:tc>
        <w:tc>
          <w:tcPr>
            <w:tcW w:type="dxa" w:w="669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115 канонических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2721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Запрет</w:t>
            </w:r>
          </w:p>
        </w:tc>
        <w:tc>
          <w:tcPr>
            <w:tcW w:type="dxa" w:w="669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не использовать 282 как число инструментов</w:t>
            </w:r>
          </w:p>
        </w:tc>
      </w:tr>
    </w:tbl>
    <w:p/>
    <w:p>
      <w:pPr>
        <w:pStyle w:val="Heading1"/>
      </w:pPr>
      <w:r>
        <w:t>Правила восстановления v0.2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896"/>
        <w:gridCol w:w="4896"/>
      </w:tblGrid>
      <w:tr>
        <w:trPr>
          <w:tblHeader w:val="true"/>
        </w:trPr>
        <w:tc>
          <w:tcPr>
            <w:tcW w:type="dxa" w:w="3969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Правило</w:t>
            </w:r>
          </w:p>
        </w:tc>
        <w:tc>
          <w:tcPr>
            <w:tcW w:type="dxa" w:w="5443"/>
            <w:shd w:fill="2F6F73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Что запрещено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Один инструмент = один канонический ID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дубли, алиасы, меры, метрики и шаблоны отдельными инструментами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116 = кандидаты до дедубликации</w:t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называть 116 уникальным ядром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115 = машинная дедубликация</w:t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называть 115 финальной истиной без ручной приемки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искусственный интеллект / AI внутри 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выносить AI в отдельную функцию v0.2</w:t>
            </w:r>
          </w:p>
        </w:tc>
      </w:tr>
      <w:tr>
        <w:tc>
          <w:tcPr>
            <w:tcW w:type="dxa" w:w="3969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клиентский контур / CUSTOMER внутри MRK/SLS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считать CUSTOMER седьмой функцией компании</w:t>
            </w:r>
          </w:p>
        </w:tc>
      </w:tr>
      <w:tr>
        <w:tc>
          <w:tcPr>
            <w:tcW w:type="dxa" w:w="3969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мост / Bridge только через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5443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передавать исходный ID / Raw ID в Спринт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</w:tbl>
    <w:p/>
    <w:p>
      <w:pPr>
        <w:pStyle w:val="Heading1"/>
      </w:pPr>
      <w:r>
        <w:t>Технология по шагам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680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Шаг</w:t>
            </w:r>
          </w:p>
        </w:tc>
        <w:tc>
          <w:tcPr>
            <w:tcW w:type="dxa" w:w="453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Действие</w:t>
            </w:r>
          </w:p>
        </w:tc>
        <w:tc>
          <w:tcPr>
            <w:tcW w:type="dxa" w:w="4195"/>
            <w:shd w:fill="0B2545"/>
            <w:tcBorders>
              <w:top w:val="single" w:sz="8" w:space="0" w:color="0B2545"/>
              <w:left w:val="single" w:sz="8" w:space="0" w:color="0B2545"/>
              <w:bottom w:val="single" w:sz="8" w:space="0" w:color="0B2545"/>
              <w:right w:val="single" w:sz="8" w:space="0" w:color="0B2545"/>
              <w:insideH w:val="single" w:sz="8" w:space="0" w:color="0B2545"/>
              <w:insideV w:val="single" w:sz="8" w:space="0" w:color="0B2545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Контроль</w:t>
            </w:r>
          </w:p>
        </w:tc>
      </w:tr>
      <w:tr>
        <w:tc>
          <w:tcPr>
            <w:tcW w:type="dxa" w:w="68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1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формализовать проблемную единицу / Problem Unit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одна проблема, один владелец, один проверяемый контур</w:t>
            </w:r>
          </w:p>
        </w:tc>
      </w:tr>
      <w:tr>
        <w:tc>
          <w:tcPr>
            <w:tcW w:type="dxa" w:w="68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2</w:t>
            </w:r>
          </w:p>
        </w:tc>
        <w:tc>
          <w:tcPr>
            <w:tcW w:type="dxa" w:w="45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проверить текущий STR/OPE контур</w:t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что есть, что работает, что разорвано, что не трогать, что пересобрать</w:t>
            </w:r>
          </w:p>
        </w:tc>
      </w:tr>
      <w:tr>
        <w:tc>
          <w:tcPr>
            <w:tcW w:type="dxa" w:w="68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выбрать стратегические модели / STR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модель дает стратегический выход / Strategic Output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</w:tr>
      <w:tr>
        <w:tc>
          <w:tcPr>
            <w:tcW w:type="dxa" w:w="68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4</w:t>
            </w:r>
          </w:p>
        </w:tc>
        <w:tc>
          <w:tcPr>
            <w:tcW w:type="dxa" w:w="45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выбрать канонический инструмент / canonical_id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дубли, шаблоны и метрики не увеличивают счетчик</w:t>
            </w:r>
          </w:p>
        </w:tc>
      </w:tr>
      <w:tr>
        <w:tc>
          <w:tcPr>
            <w:tcW w:type="dxa" w:w="68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5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>
              <w:t>построить мост / Bridge</w:t>
            </w:r>
            <w:r>
              <w:rPr>
                <w:rFonts w:ascii="Calibri" w:hAnsi="Calibri"/>
                <w:b w:val="0"/>
                <w:color w:val="2F3437"/>
                <w:sz w:val="16"/>
              </w:rPr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STR Output -&gt; canonical_id -&gt; функция -&gt; владелец -&gt; метрика</w:t>
            </w:r>
          </w:p>
        </w:tc>
      </w:tr>
      <w:tr>
        <w:tc>
          <w:tcPr>
            <w:tcW w:type="dxa" w:w="680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6</w:t>
            </w:r>
          </w:p>
        </w:tc>
        <w:tc>
          <w:tcPr>
            <w:tcW w:type="dxa" w:w="453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запустить Спринт 30/60/90</w:t>
            </w:r>
          </w:p>
        </w:tc>
        <w:tc>
          <w:tcPr>
            <w:tcW w:type="dxa" w:w="4195"/>
            <w:shd w:fill="FFFFFF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3-5 инструментов, не больше</w:t>
            </w:r>
          </w:p>
        </w:tc>
      </w:tr>
      <w:tr>
        <w:tc>
          <w:tcPr>
            <w:tcW w:type="dxa" w:w="680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7</w:t>
            </w:r>
          </w:p>
        </w:tc>
        <w:tc>
          <w:tcPr>
            <w:tcW w:type="dxa" w:w="453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сопровождать и остановить лишнее</w:t>
            </w:r>
          </w:p>
        </w:tc>
        <w:tc>
          <w:tcPr>
            <w:tcW w:type="dxa" w:w="4195"/>
            <w:shd w:fill="FBFAF6"/>
            <w:tcBorders>
              <w:top w:val="single" w:sz="6" w:space="0" w:color="D7D0C3"/>
              <w:left w:val="single" w:sz="6" w:space="0" w:color="D7D0C3"/>
              <w:bottom w:val="single" w:sz="6" w:space="0" w:color="D7D0C3"/>
              <w:right w:val="single" w:sz="6" w:space="0" w:color="D7D0C3"/>
              <w:insideH w:val="single" w:sz="6" w:space="0" w:color="D7D0C3"/>
              <w:insideV w:val="single" w:sz="6" w:space="0" w:color="D7D0C3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color w:val="2F3437"/>
                <w:sz w:val="16"/>
              </w:rPr>
              <w:t>Continue / Reduce / Restart / Stop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92"/>
      </w:tblGrid>
      <w:tr>
        <w:tc>
          <w:tcPr>
            <w:tcW w:type="dxa" w:w="9792"/>
            <w:shd w:fill="F7F3EA"/>
            <w:tcBorders>
              <w:top w:val="single" w:sz="10" w:space="0" w:color="B46A3C"/>
              <w:left w:val="single" w:sz="10" w:space="0" w:color="B46A3C"/>
              <w:bottom w:val="single" w:sz="10" w:space="0" w:color="B46A3C"/>
              <w:right w:val="single" w:sz="10" w:space="0" w:color="B46A3C"/>
              <w:insideH w:val="single" w:sz="10" w:space="0" w:color="B46A3C"/>
              <w:insideV w:val="single" w:sz="10" w:space="0" w:color="B46A3C"/>
            </w:tcBorders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0B2545"/>
                <w:sz w:val="18"/>
              </w:rPr>
              <w:t>Позиция по AI</w:t>
            </w:r>
          </w:p>
          <w:p>
            <w:pPr>
              <w:spacing w:after="0"/>
            </w:pPr>
            <w:r>
              <w:rPr>
                <w:rFonts w:ascii="Calibri" w:hAnsi="Calibri"/>
                <w:color w:val="2F3437"/>
                <w:sz w:val="18"/>
              </w:rPr>
              <w:t>искусственный интеллект / AI не является самостоятельной функцией технологии v0.2. Он остается внутри информационные технологии и данные и проверяется только через конкретный IT-инструмент, владельца, артефакт и метрику.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6"/>
      </w:rPr>
      <w:t>восстановительная сборка / Recovery Build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777777"/>
        <w:sz w:val="17"/>
      </w:rPr>
      <w:t>проSTRAнство | описание технологии / Technology Guide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2F34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B254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F6F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B46A3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проСТРАНСТВО. Technology Guide v0.2</dc:title>
  <dc:subject>Recovery Build v0.2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