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79"/>
          <w:sz w:val="40"/>
        </w:rPr>
        <w:t>Языковой стандарт проSTRAнства v1.0</w:t>
      </w:r>
    </w:p>
    <w:p>
      <w:r>
        <w:rPr>
          <w:rFonts w:ascii="Calibri" w:hAnsi="Calibri"/>
          <w:color w:val="5B6770"/>
          <w:sz w:val="21"/>
        </w:rPr>
        <w:t>Правила языка для клиентских, коммерческих, методических и внутренних материалов.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978"/>
      </w:tblGrid>
      <w:tr>
        <w:tc>
          <w:tcPr>
            <w:tcW w:type="dxa" w:w="9978"/>
            <w:shd w:fill="EAF2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 xml:space="preserve">Статус. </w:t>
            </w:r>
            <w:r>
              <w:rPr>
                <w:rFonts w:ascii="Calibri" w:hAnsi="Calibri"/>
                <w:color w:val="1F2933"/>
                <w:sz w:val="18"/>
              </w:rPr>
              <w:t>Мини-релиз v0.4.1. Документ закрывает релизный хвост и не переписывает фундамент технологии.</w:t>
            </w:r>
          </w:p>
        </w:tc>
      </w:tr>
    </w:tbl>
    <w:p/>
    <w:p>
      <w:pPr>
        <w:pStyle w:val="Heading1"/>
      </w:pPr>
      <w:r>
        <w:t>1. Главные правила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Публичное название технологии: проSTRAнство.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Технический префикс файлов: proSTRANSTVO_. Он используется только в именах файлов и реестрах.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Русский термин первичен; английский термин допускается только через /, если он нужен для точности.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Диагностика - обязательный платный вход.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Сессия не продается автоматически после Диагностики.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Go используется только в клиентской связке переходить к Сессии / Go.</w:t>
      </w:r>
    </w:p>
    <w:p>
      <w:pPr>
        <w:pStyle w:val="Heading1"/>
      </w:pPr>
      <w:r>
        <w:t>2. Термины и замены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3326"/>
        <w:gridCol w:w="3326"/>
        <w:gridCol w:w="3326"/>
      </w:tblGrid>
      <w:tr>
        <w:tc>
          <w:tcPr>
            <w:tcW w:type="dxa" w:w="2835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Нельзя / риск</w:t>
            </w:r>
          </w:p>
        </w:tc>
        <w:tc>
          <w:tcPr>
            <w:tcW w:type="dxa" w:w="3798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Правильно</w:t>
            </w:r>
          </w:p>
        </w:tc>
        <w:tc>
          <w:tcPr>
            <w:tcW w:type="dxa" w:w="3345"/>
            <w:shd w:fill="F3F5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количественное обещание набора инструментов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уникальное инструментальное ядро 115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Не превращать ядро в клиентское обещание или меню выбора.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искусственный интеллект в роли отдельной функции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искусственный интеллект / AI внутри информационных технологий / IT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Искусственный интеллект / AI не является отдельной функцией технологии.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стратегическая сессия проSTRAнство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Диагностика проSTRAнства; Сессия после Диагностики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Первый продукт - платная Диагностика.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аудит проSTRAнства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Диагностика текущего контура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Диагностика не является бесплатным аудитом.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каталог моделей</w:t>
            </w:r>
          </w:p>
        </w:tc>
        <w:tc>
          <w:tcPr>
            <w:tcW w:type="dxa" w:w="37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выбранный рабочий набор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3"/>
                <w:sz w:val="17"/>
              </w:rPr>
              <w:t>Клиент покупает не меню, а точный выбор под задачу.</w:t>
            </w:r>
          </w:p>
        </w:tc>
      </w:tr>
    </w:tbl>
    <w:p/>
    <w:p>
      <w:pPr>
        <w:pStyle w:val="Heading1"/>
      </w:pPr>
      <w:r>
        <w:t>3. Запрещенные формулировки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быстро сделаем стратегию;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универсальный набор инструментов;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вы получите доступ ко всем моделям;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английский алиас как знак внутренней приемки;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Сессия в роли первого шага;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Спринт без моста;</w:t>
      </w:r>
    </w:p>
    <w:p>
      <w:pPr>
        <w:spacing w:after="50"/>
        <w:ind w:left="255" w:hanging="142"/>
      </w:pPr>
      <w:r>
        <w:rPr>
          <w:rFonts w:ascii="Calibri" w:hAnsi="Calibri"/>
          <w:color w:val="1F4E79"/>
        </w:rPr>
        <w:t xml:space="preserve">- </w:t>
      </w:r>
      <w:r>
        <w:rPr>
          <w:rFonts w:ascii="Calibri" w:hAnsi="Calibri"/>
        </w:rPr>
        <w:t>Сопровождение без объекта.</w:t>
      </w:r>
    </w:p>
    <w:p>
      <w:pPr>
        <w:pStyle w:val="Heading1"/>
      </w:pPr>
      <w:r>
        <w:t>4. Проверка перед публикацией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EE6"/>
          <w:left w:val="single" w:sz="4" w:space="0" w:color="D6DEE6"/>
          <w:bottom w:val="single" w:sz="4" w:space="0" w:color="D6DEE6"/>
          <w:right w:val="single" w:sz="4" w:space="0" w:color="D6DEE6"/>
          <w:insideH w:val="single" w:sz="4" w:space="0" w:color="D6DEE6"/>
          <w:insideV w:val="single" w:sz="4" w:space="0" w:color="D6DEE6"/>
        </w:tblBorders>
      </w:tblPr>
      <w:tblGrid>
        <w:gridCol w:w="9978"/>
      </w:tblGrid>
      <w:tr>
        <w:tc>
          <w:tcPr>
            <w:tcW w:type="dxa" w:w="9978"/>
            <w:shd w:fill="FFF4C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 xml:space="preserve">Мини-чек. </w:t>
            </w:r>
            <w:r>
              <w:rPr>
                <w:rFonts w:ascii="Calibri" w:hAnsi="Calibri"/>
                <w:color w:val="1F2933"/>
                <w:sz w:val="18"/>
              </w:rPr>
              <w:t>Если текст можно принять за аудит, стратегическую сессию, каталог моделей, проектный офис или тренинг, текст не готов к передаче клиенту.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>Диагностика - обязательный платный вход. Сессия не продается автоматически.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проSTRAнство | v0.4.1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Calibri" w:hAnsi="Calibri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