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Calibri"/>
          <w:b/>
          <w:color w:val="0B2545"/>
          <w:sz w:val="34"/>
        </w:rPr>
        <w:t>проSTRAнство</w:t>
      </w:r>
    </w:p>
    <w:p>
      <w:r>
        <w:rPr>
          <w:rFonts w:ascii="Calibri" w:hAnsi="Calibri" w:eastAsia="Calibri"/>
          <w:color w:val="56616A"/>
          <w:sz w:val="24"/>
        </w:rPr>
        <w:t>Каталог 12 кейсов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8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45" w:type="dxa"/>
          <w:start w:w="70" w:type="dxa"/>
          <w:bottom w:w="45" w:type="dxa"/>
          <w:end w:w="70" w:type="dxa"/>
        </w:tblCellMar>
      </w:tblPr>
      <w:tblGrid>
        <w:gridCol w:w="10123"/>
      </w:tblGrid>
      <w:tr>
        <w:trPr>
          <w:cantSplit/>
        </w:trPr>
        <w:tc>
          <w:tcPr>
            <w:tcW w:type="dxa" w:w="9720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6"/>
              </w:rPr>
              <w:t>Назначение каталога: быстро выбрать кейс под боль клиента, страницу сайта, презентацию, консультацию или коммерческое письмо. Все кейсы являются обобщенными управленческими примерами, а не описанием конкретных компаний.</w:t>
            </w:r>
          </w:p>
        </w:tc>
      </w:tr>
    </w:tbl>
    <w:p/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8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45" w:type="dxa"/>
          <w:start w:w="70" w:type="dxa"/>
          <w:bottom w:w="45" w:type="dxa"/>
          <w:end w:w="70" w:type="dxa"/>
        </w:tblCellMar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1944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5"/>
              </w:rPr>
              <w:t>Статус</w:t>
            </w:r>
          </w:p>
        </w:tc>
        <w:tc>
          <w:tcPr>
            <w:tcW w:type="dxa" w:w="2232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5"/>
              </w:rPr>
              <w:t>Этап</w:t>
            </w:r>
          </w:p>
        </w:tc>
        <w:tc>
          <w:tcPr>
            <w:tcW w:type="dxa" w:w="5544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5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374"/>
            <w:shd w:fill="FFFFFF"/>
          </w:tcPr>
          <w:p>
            <w:r>
              <w:t>каталог-карта кейсов</w:t>
            </w:r>
          </w:p>
        </w:tc>
        <w:tc>
          <w:tcPr>
            <w:tcW w:type="dxa" w:w="3374"/>
            <w:shd w:fill="FFFFFF"/>
          </w:tcPr>
          <w:p>
            <w:r>
              <w:t>финальная карта серии</w:t>
            </w:r>
          </w:p>
        </w:tc>
        <w:tc>
          <w:tcPr>
            <w:tcW w:type="dxa" w:w="3374"/>
            <w:shd w:fill="FFFFFF"/>
          </w:tcPr>
          <w:p>
            <w:r>
              <w:t>после подготовки 12 отдельных кейсов: 10 успешных, 1 пауза / Hold, 1 остановить / Stop</w:t>
            </w:r>
          </w:p>
        </w:tc>
      </w:tr>
    </w:tbl>
    <w:p/>
    <w:p>
      <w:pPr>
        <w:pStyle w:val="Heading1"/>
      </w:pPr>
      <w:r>
        <w:t>Карта 12 кейсов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8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45" w:type="dxa"/>
          <w:start w:w="70" w:type="dxa"/>
          <w:bottom w:w="45" w:type="dxa"/>
          <w:end w:w="70" w:type="dxa"/>
        </w:tblCellMar>
      </w:tblPr>
      <w:tblGrid>
        <w:gridCol w:w="2531"/>
        <w:gridCol w:w="2531"/>
        <w:gridCol w:w="2531"/>
        <w:gridCol w:w="2531"/>
      </w:tblGrid>
      <w:tr>
        <w:trPr>
          <w:tblHeader w:val="true"/>
          <w:cantSplit/>
        </w:trPr>
        <w:tc>
          <w:tcPr>
            <w:tcW w:type="dxa" w:w="460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№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Кейс</w:t>
            </w:r>
          </w:p>
        </w:tc>
        <w:tc>
          <w:tcPr>
            <w:tcW w:type="dxa" w:w="3528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Что показывает</w:t>
            </w:r>
          </w:p>
        </w:tc>
        <w:tc>
          <w:tcPr>
            <w:tcW w:type="dxa" w:w="1411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Статус</w:t>
            </w:r>
          </w:p>
        </w:tc>
      </w:tr>
      <w:tr>
        <w:trPr>
          <w:cantSplit/>
        </w:trPr>
        <w:tc>
          <w:tcPr>
            <w:tcW w:type="dxa" w:w="2531"/>
            <w:shd w:fill="FFFFFF"/>
          </w:tcPr>
          <w:p>
            <w:r>
              <w:t>1</w:t>
            </w:r>
          </w:p>
        </w:tc>
        <w:tc>
          <w:tcPr>
            <w:tcW w:type="dxa" w:w="2531"/>
            <w:shd w:fill="FFFFFF"/>
          </w:tcPr>
          <w:p>
            <w:r>
              <w:t>Сад-Огород входит в федеральную сеть и почти теряет управляемость</w:t>
            </w:r>
          </w:p>
        </w:tc>
        <w:tc>
          <w:tcPr>
            <w:tcW w:type="dxa" w:w="2531"/>
            <w:shd w:fill="FFFFFF"/>
          </w:tcPr>
          <w:p>
            <w:r>
              <w:t>Рост через федеральную сеть требует скидки, промо, отсрочки и готовности операций.</w:t>
            </w:r>
          </w:p>
        </w:tc>
        <w:tc>
          <w:tcPr>
            <w:tcW w:type="dxa" w:w="2531"/>
            <w:shd w:fill="FFFFFF"/>
          </w:tcPr>
          <w:p>
            <w:r>
              <w:t>Успешный</w:t>
            </w:r>
          </w:p>
        </w:tc>
      </w:tr>
      <w:tr>
        <w:trPr>
          <w:cantSplit/>
        </w:trPr>
        <w:tc>
          <w:tcPr>
            <w:tcW w:type="dxa" w:w="2531"/>
            <w:shd w:fill="FBFAF6"/>
          </w:tcPr>
          <w:p>
            <w:r>
              <w:t>2</w:t>
            </w:r>
          </w:p>
        </w:tc>
        <w:tc>
          <w:tcPr>
            <w:tcW w:type="dxa" w:w="2531"/>
            <w:shd w:fill="FBFAF6"/>
          </w:tcPr>
          <w:p>
            <w:r>
              <w:t>Дистрибутор стройматериалов рос по выручке, но терял прибыль в дебиторке</w:t>
            </w:r>
          </w:p>
        </w:tc>
        <w:tc>
          <w:tcPr>
            <w:tcW w:type="dxa" w:w="2531"/>
            <w:shd w:fill="FBFAF6"/>
          </w:tcPr>
          <w:p>
            <w:r>
              <w:t>Выручка есть, но дебиторка, склад и скидки съедают прибыль.</w:t>
            </w:r>
          </w:p>
        </w:tc>
        <w:tc>
          <w:tcPr>
            <w:tcW w:type="dxa" w:w="2531"/>
            <w:shd w:fill="FBFAF6"/>
          </w:tcPr>
          <w:p>
            <w:r>
              <w:t>Успешный</w:t>
            </w:r>
          </w:p>
        </w:tc>
      </w:tr>
      <w:tr>
        <w:trPr>
          <w:cantSplit/>
        </w:trPr>
        <w:tc>
          <w:tcPr>
            <w:tcW w:type="dxa" w:w="2531"/>
            <w:shd w:fill="FFFFFF"/>
          </w:tcPr>
          <w:p>
            <w:r>
              <w:t>3</w:t>
            </w:r>
          </w:p>
        </w:tc>
        <w:tc>
          <w:tcPr>
            <w:tcW w:type="dxa" w:w="2531"/>
            <w:shd w:fill="FFFFFF"/>
          </w:tcPr>
          <w:p>
            <w:r>
              <w:t>Производитель кормов расширил линейку и потерял фокус канала</w:t>
            </w:r>
          </w:p>
        </w:tc>
        <w:tc>
          <w:tcPr>
            <w:tcW w:type="dxa" w:w="2531"/>
            <w:shd w:fill="FFFFFF"/>
          </w:tcPr>
          <w:p>
            <w:r>
              <w:t>Ассортимент и каналы растут быстрее управляемости портфеля.</w:t>
            </w:r>
          </w:p>
        </w:tc>
        <w:tc>
          <w:tcPr>
            <w:tcW w:type="dxa" w:w="2531"/>
            <w:shd w:fill="FFFFFF"/>
          </w:tcPr>
          <w:p>
            <w:r>
              <w:t>Успешный</w:t>
            </w:r>
          </w:p>
        </w:tc>
      </w:tr>
      <w:tr>
        <w:trPr>
          <w:cantSplit/>
        </w:trPr>
        <w:tc>
          <w:tcPr>
            <w:tcW w:type="dxa" w:w="2531"/>
            <w:shd w:fill="FBFAF6"/>
          </w:tcPr>
          <w:p>
            <w:r>
              <w:t>4</w:t>
            </w:r>
          </w:p>
        </w:tc>
        <w:tc>
          <w:tcPr>
            <w:tcW w:type="dxa" w:w="2531"/>
            <w:shd w:fill="FBFAF6"/>
          </w:tcPr>
          <w:p>
            <w:r>
              <w:t>Производитель бытовой химии продавал промо, а не бренд</w:t>
            </w:r>
          </w:p>
        </w:tc>
        <w:tc>
          <w:tcPr>
            <w:tcW w:type="dxa" w:w="2531"/>
            <w:shd w:fill="FBFAF6"/>
          </w:tcPr>
          <w:p>
            <w:r>
              <w:t>Промо дает оборот, но разрушает маржу, ритм производства и ценность бренда.</w:t>
            </w:r>
          </w:p>
        </w:tc>
        <w:tc>
          <w:tcPr>
            <w:tcW w:type="dxa" w:w="2531"/>
            <w:shd w:fill="FBFAF6"/>
          </w:tcPr>
          <w:p>
            <w:r>
              <w:t>Успешный</w:t>
            </w:r>
          </w:p>
        </w:tc>
      </w:tr>
      <w:tr>
        <w:trPr>
          <w:cantSplit/>
        </w:trPr>
        <w:tc>
          <w:tcPr>
            <w:tcW w:type="dxa" w:w="2531"/>
            <w:shd w:fill="FFFFFF"/>
          </w:tcPr>
          <w:p>
            <w:r>
              <w:t>5</w:t>
            </w:r>
          </w:p>
        </w:tc>
        <w:tc>
          <w:tcPr>
            <w:tcW w:type="dxa" w:w="2531"/>
            <w:shd w:fill="FFFFFF"/>
          </w:tcPr>
          <w:p>
            <w:r>
              <w:t>Мясокомбинат выполнял заказы, но терял деньги в качестве и логистике</w:t>
            </w:r>
          </w:p>
        </w:tc>
        <w:tc>
          <w:tcPr>
            <w:tcW w:type="dxa" w:w="2531"/>
            <w:shd w:fill="FFFFFF"/>
          </w:tcPr>
          <w:p>
            <w:r>
              <w:t>Возвраты, штрафы и срочная логистика ломают общий результат.</w:t>
            </w:r>
          </w:p>
        </w:tc>
        <w:tc>
          <w:tcPr>
            <w:tcW w:type="dxa" w:w="2531"/>
            <w:shd w:fill="FFFFFF"/>
          </w:tcPr>
          <w:p>
            <w:r>
              <w:t>Успешный</w:t>
            </w:r>
          </w:p>
        </w:tc>
      </w:tr>
      <w:tr>
        <w:trPr>
          <w:cantSplit/>
        </w:trPr>
        <w:tc>
          <w:tcPr>
            <w:tcW w:type="dxa" w:w="2531"/>
            <w:shd w:fill="FBFAF6"/>
          </w:tcPr>
          <w:p>
            <w:r>
              <w:t>6</w:t>
            </w:r>
          </w:p>
        </w:tc>
        <w:tc>
          <w:tcPr>
            <w:tcW w:type="dxa" w:w="2531"/>
            <w:shd w:fill="FBFAF6"/>
          </w:tcPr>
          <w:p>
            <w:r>
              <w:t>Селлер на маркетплейсах вырос в обороте и не заметил исчезновение прибыли</w:t>
            </w:r>
          </w:p>
        </w:tc>
        <w:tc>
          <w:tcPr>
            <w:tcW w:type="dxa" w:w="2531"/>
            <w:shd w:fill="FBFAF6"/>
          </w:tcPr>
          <w:p>
            <w:r>
              <w:t>Оборот не равен прибыли после комиссий, рекламы, возвратов и хранения.</w:t>
            </w:r>
          </w:p>
        </w:tc>
        <w:tc>
          <w:tcPr>
            <w:tcW w:type="dxa" w:w="2531"/>
            <w:shd w:fill="FBFAF6"/>
          </w:tcPr>
          <w:p>
            <w:r>
              <w:t>Успешный</w:t>
            </w:r>
          </w:p>
        </w:tc>
      </w:tr>
      <w:tr>
        <w:trPr>
          <w:cantSplit/>
        </w:trPr>
        <w:tc>
          <w:tcPr>
            <w:tcW w:type="dxa" w:w="2531"/>
            <w:shd w:fill="FFFFFF"/>
          </w:tcPr>
          <w:p>
            <w:r>
              <w:t>7</w:t>
            </w:r>
          </w:p>
        </w:tc>
        <w:tc>
          <w:tcPr>
            <w:tcW w:type="dxa" w:w="2531"/>
            <w:shd w:fill="FFFFFF"/>
          </w:tcPr>
          <w:p>
            <w:r>
              <w:t>Сеть региональных АЗС видела литры, но не видела управляемость точки</w:t>
            </w:r>
          </w:p>
        </w:tc>
        <w:tc>
          <w:tcPr>
            <w:tcW w:type="dxa" w:w="2531"/>
            <w:shd w:fill="FFFFFF"/>
          </w:tcPr>
          <w:p>
            <w:r>
              <w:t>Данные по точкам несопоставимы, владелец управляемости не закреплен.</w:t>
            </w:r>
          </w:p>
        </w:tc>
        <w:tc>
          <w:tcPr>
            <w:tcW w:type="dxa" w:w="2531"/>
            <w:shd w:fill="FFFFFF"/>
          </w:tcPr>
          <w:p>
            <w:r>
              <w:t>Пауза / Hold</w:t>
            </w:r>
          </w:p>
        </w:tc>
      </w:tr>
      <w:tr>
        <w:trPr>
          <w:cantSplit/>
        </w:trPr>
        <w:tc>
          <w:tcPr>
            <w:tcW w:type="dxa" w:w="2531"/>
            <w:shd w:fill="FBFAF6"/>
          </w:tcPr>
          <w:p>
            <w:r>
              <w:t>8</w:t>
            </w:r>
          </w:p>
        </w:tc>
        <w:tc>
          <w:tcPr>
            <w:tcW w:type="dxa" w:w="2531"/>
            <w:shd w:fill="FBFAF6"/>
          </w:tcPr>
          <w:p>
            <w:r>
              <w:t>Сеть косметических салонов открывала точки быстрее, чем росло качество</w:t>
            </w:r>
          </w:p>
        </w:tc>
        <w:tc>
          <w:tcPr>
            <w:tcW w:type="dxa" w:w="2531"/>
            <w:shd w:fill="FBFAF6"/>
          </w:tcPr>
          <w:p>
            <w:r>
              <w:t>Рост сети опережает стандарты сервиса, обучение и повторные визиты.</w:t>
            </w:r>
          </w:p>
        </w:tc>
        <w:tc>
          <w:tcPr>
            <w:tcW w:type="dxa" w:w="2531"/>
            <w:shd w:fill="FBFAF6"/>
          </w:tcPr>
          <w:p>
            <w:r>
              <w:t>Успешный</w:t>
            </w:r>
          </w:p>
        </w:tc>
      </w:tr>
      <w:tr>
        <w:trPr>
          <w:cantSplit/>
        </w:trPr>
        <w:tc>
          <w:tcPr>
            <w:tcW w:type="dxa" w:w="2531"/>
            <w:shd w:fill="FFFFFF"/>
          </w:tcPr>
          <w:p>
            <w:r>
              <w:t>9</w:t>
            </w:r>
          </w:p>
        </w:tc>
        <w:tc>
          <w:tcPr>
            <w:tcW w:type="dxa" w:w="2531"/>
            <w:shd w:fill="FFFFFF"/>
          </w:tcPr>
          <w:p>
            <w:r>
              <w:t>Хлебозавод продавал свежесть, а управлял возвратами постфактум</w:t>
            </w:r>
          </w:p>
        </w:tc>
        <w:tc>
          <w:tcPr>
            <w:tcW w:type="dxa" w:w="2531"/>
            <w:shd w:fill="FFFFFF"/>
          </w:tcPr>
          <w:p>
            <w:r>
              <w:t>Свежесть обещается клиенту, но контур планирования живет после факта.</w:t>
            </w:r>
          </w:p>
        </w:tc>
        <w:tc>
          <w:tcPr>
            <w:tcW w:type="dxa" w:w="2531"/>
            <w:shd w:fill="FFFFFF"/>
          </w:tcPr>
          <w:p>
            <w:r>
              <w:t>Успешный</w:t>
            </w:r>
          </w:p>
        </w:tc>
      </w:tr>
      <w:tr>
        <w:trPr>
          <w:cantSplit/>
        </w:trPr>
        <w:tc>
          <w:tcPr>
            <w:tcW w:type="dxa" w:w="2531"/>
            <w:shd w:fill="FBFAF6"/>
          </w:tcPr>
          <w:p>
            <w:r>
              <w:t>10</w:t>
            </w:r>
          </w:p>
        </w:tc>
        <w:tc>
          <w:tcPr>
            <w:tcW w:type="dxa" w:w="2531"/>
            <w:shd w:fill="FBFAF6"/>
          </w:tcPr>
          <w:p>
            <w:r>
              <w:t>Региональная аптечная сеть имела ассортимент, но теряла клиента на наличии</w:t>
            </w:r>
          </w:p>
        </w:tc>
        <w:tc>
          <w:tcPr>
            <w:tcW w:type="dxa" w:w="2531"/>
            <w:shd w:fill="FBFAF6"/>
          </w:tcPr>
          <w:p>
            <w:r>
              <w:t>Наличие, цена, закупка и клиентские миссии не собраны в общий контур.</w:t>
            </w:r>
          </w:p>
        </w:tc>
        <w:tc>
          <w:tcPr>
            <w:tcW w:type="dxa" w:w="2531"/>
            <w:shd w:fill="FBFAF6"/>
          </w:tcPr>
          <w:p>
            <w:r>
              <w:t>Успешный</w:t>
            </w:r>
          </w:p>
        </w:tc>
      </w:tr>
      <w:tr>
        <w:trPr>
          <w:cantSplit/>
        </w:trPr>
        <w:tc>
          <w:tcPr>
            <w:tcW w:type="dxa" w:w="2531"/>
            <w:shd w:fill="FFFFFF"/>
          </w:tcPr>
          <w:p>
            <w:r>
              <w:t>11</w:t>
            </w:r>
          </w:p>
        </w:tc>
        <w:tc>
          <w:tcPr>
            <w:tcW w:type="dxa" w:w="2531"/>
            <w:shd w:fill="FFFFFF"/>
          </w:tcPr>
          <w:p>
            <w:r>
              <w:t>Мебельное производство продавало заказы, которые ломали денежный поток</w:t>
            </w:r>
          </w:p>
        </w:tc>
        <w:tc>
          <w:tcPr>
            <w:tcW w:type="dxa" w:w="2531"/>
            <w:shd w:fill="FFFFFF"/>
          </w:tcPr>
          <w:p>
            <w:r>
              <w:t>Сложные заказы перегружают мощность, закупку, монтаж и денежный поток.</w:t>
            </w:r>
          </w:p>
        </w:tc>
        <w:tc>
          <w:tcPr>
            <w:tcW w:type="dxa" w:w="2531"/>
            <w:shd w:fill="FFFFFF"/>
          </w:tcPr>
          <w:p>
            <w:r>
              <w:t>Успешный</w:t>
            </w:r>
          </w:p>
        </w:tc>
      </w:tr>
      <w:tr>
        <w:trPr>
          <w:cantSplit/>
        </w:trPr>
        <w:tc>
          <w:tcPr>
            <w:tcW w:type="dxa" w:w="2531"/>
            <w:shd w:fill="FBFAF6"/>
          </w:tcPr>
          <w:p>
            <w:r>
              <w:t>12</w:t>
            </w:r>
          </w:p>
        </w:tc>
        <w:tc>
          <w:tcPr>
            <w:tcW w:type="dxa" w:w="2531"/>
            <w:shd w:fill="FBFAF6"/>
          </w:tcPr>
          <w:p>
            <w:r>
              <w:t>Сервисная компания для бизнеса / B2B хотела масштабироваться, но отказывалась фиксировать факты</w:t>
            </w:r>
          </w:p>
        </w:tc>
        <w:tc>
          <w:tcPr>
            <w:tcW w:type="dxa" w:w="2531"/>
            <w:shd w:fill="FBFAF6"/>
          </w:tcPr>
          <w:p>
            <w:r>
              <w:t>Нет готовности раскрыть экономику проектов и закрепить владельцев решений.</w:t>
            </w:r>
          </w:p>
        </w:tc>
        <w:tc>
          <w:tcPr>
            <w:tcW w:type="dxa" w:w="2531"/>
            <w:shd w:fill="FBFAF6"/>
          </w:tcPr>
          <w:p>
            <w:r>
              <w:t>Остановить / Stop</w:t>
            </w:r>
          </w:p>
        </w:tc>
      </w:tr>
    </w:tbl>
    <w:p/>
    <w:p>
      <w:pPr>
        <w:pStyle w:val="Heading1"/>
      </w:pPr>
      <w:r>
        <w:t>Маршрут чтения и границы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8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45" w:type="dxa"/>
          <w:start w:w="70" w:type="dxa"/>
          <w:bottom w:w="45" w:type="dxa"/>
          <w:end w:w="70" w:type="dxa"/>
        </w:tblCellMar>
      </w:tblPr>
      <w:tblGrid>
        <w:gridCol w:w="10123"/>
      </w:tblGrid>
      <w:tr>
        <w:trPr>
          <w:cantSplit/>
        </w:trPr>
        <w:tc>
          <w:tcPr>
            <w:tcW w:type="dxa" w:w="9720"/>
            <w:vAlign w:val="center"/>
            <w:shd w:fill="F7F3EA"/>
          </w:tcPr>
          <w:p>
            <w:r>
              <w:t>Первые пять кейсов показывают производственно-торговые компании из базовых референсов. Кейсы 6-11 расширяют поле применения: маркетплейсы, АЗС, салоны, хлебозавод, аптеки, мебельное производство. Кейс 12 фиксирует стоп-линию: технология не должна превращаться в имитацию, если клиент не готов работать с фактами и владельцами решений. В каждом отдельном кейсе пункт 7 содержит выбранный рабочий набор с кодами, точными названиями, функциями и причиной выбора. Кейсы учитывают текущую российскую деловую среду без указания года в тексте.</w:t>
            </w:r>
          </w:p>
        </w:tc>
      </w:tr>
    </w:tbl>
    <w:p/>
    <w:sectPr w:rsidR="00FC693F" w:rsidRPr="0006063C" w:rsidSect="00034616">
      <w:pgSz w:w="11909" w:h="16834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color w:val="2F34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