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 w:eastAsia="Calibri"/>
          <w:b/>
          <w:color w:val="0B2545"/>
          <w:sz w:val="34"/>
        </w:rPr>
        <w:t>проSTRAнство</w:t>
      </w:r>
    </w:p>
    <w:p>
      <w:pPr>
        <w:spacing w:after="40"/>
      </w:pPr>
      <w:r>
        <w:rPr>
          <w:rFonts w:ascii="Calibri" w:hAnsi="Calibri" w:eastAsia="Calibri"/>
          <w:color w:val="56616A"/>
          <w:sz w:val="24"/>
        </w:rPr>
        <w:t>Кейс №2. Дистрибутор стройматериалов рос по выручке, но терял прибыль в дебиторке</w:t>
      </w:r>
    </w:p>
    <w:p>
      <w:pPr>
        <w:spacing w:after="120"/>
      </w:pPr>
      <w:r>
        <w:t>Как технология связала клиентов, склад, скидки, дебиторку и денежный результат в один управляемый контур.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Короткий вывод. Выручка не доказывает качество роста. Если отсрочки, скидки, широкий склад и кредитная нагрузка живут отдельно, дистрибутор покупает оборот за счет ликвидности и прибыли.</w:t>
            </w:r>
          </w:p>
        </w:tc>
      </w:tr>
    </w:tbl>
    <w:p/>
    <w:p>
      <w:pPr>
        <w:pStyle w:val="Heading1"/>
      </w:pPr>
      <w:r>
        <w:t>0. Паспорт кейса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7343"/>
            <w:vAlign w:val="center"/>
            <w:shd w:fill="DDE7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Значение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Тип кейса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Обобщенный управленческий кейс применения технологии проSTRAнство в дистрибуции строительных материалов.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Компания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Дистрибутор строительных материалов: около 2 млрд руб. выручки, региональные дилеры, строительные подрядчики, складской ассортимент.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Контекст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Дорогие деньги, давление клиентов на отсрочку, нестабильность сроков строек, высокий риск просрочки и складского замораживания капитала.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Первичный симптом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 выполняют план, но прибыль проседает, дебиторка растет, склад замораживает деньги, банк закрывает кассовые разрывы.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Ключевой риск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Компания выглядит устойчивой по обороту, но теряет управляемость денежного потока / cash flow.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Статус кейса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Успешный: Диагностика дала идти дальше / Go, Сессия согласовала правила коммерческих условий и складской матрицы.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Триггеры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T2 маржинальность; T3 ассортимент; T8 решения тормозят; T9 спорные данные; T11 шок условий.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Функции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/ FIN; продажи / SLS; операции / OPE; информационные технологии / IT.</w:t>
            </w:r>
          </w:p>
        </w:tc>
      </w:tr>
    </w:tbl>
    <w:p/>
    <w:p>
      <w:pPr>
        <w:pStyle w:val="Heading1"/>
      </w:pPr>
      <w:r>
        <w:t>1. Ситуация</w:t>
      </w:r>
    </w:p>
    <w:p>
      <w:pPr>
        <w:spacing w:after="80"/>
      </w:pPr>
      <w:r>
        <w:t>Компания держала сильные позиции в регионе: широкий склад, быстрая отгрузка, персональные условия ключевым клиентам. Коммерческая команда показывала оборот и удерживала подрядчиков, которые часто выбирали поставщика не только по цене, но и по наличию.</w:t>
      </w:r>
    </w:p>
    <w:p>
      <w:pPr>
        <w:spacing w:after="80"/>
      </w:pPr>
      <w:r>
        <w:t>Проблема проявлялась не в одном месте. Финансы видели рост дебиторской задолженности и стоимости заемных денег. Склад видел медленные позиции, которые лежали ради обещания “у нас все есть”. Продажи считали, что без отсрочки и скидки клиент уйдет к конкуренту.</w:t>
      </w:r>
    </w:p>
    <w:p>
      <w:pPr>
        <w:spacing w:after="80"/>
      </w:pPr>
      <w:r>
        <w:t>Внутри компании каждое подразделение защищало свою правду. Продажи защищали клиента, финансы защищали деньги, склад защищал наличие. Но общий результат ухудшался: оборот рос, а чистый денежный эффект становился слабее.</w:t>
      </w:r>
    </w:p>
    <w:p>
      <w:pPr>
        <w:spacing w:after="80"/>
      </w:pPr>
      <w:r>
        <w:t>После формализации стало видно, что проблема не в одной функции, а в разрыве между клиентской политикой, складской матрицей, лимитами, данными и правами решения.</w:t>
      </w:r>
    </w:p>
    <w:p>
      <w:pPr>
        <w:pStyle w:val="Heading1"/>
      </w:pPr>
      <w:r>
        <w:t>2. Условие задачи и цена ошибки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Параметр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Модельное значение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Почему важно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Выручка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2 млрд руб.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масштаб уже требует формальных правил, а не ручных исключений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Дебиторка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примерно 310 млн руб. на конец месяца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оборота превращается в потребность финансирования клиентов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Просрочка более 45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74 млн руб.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риск переходит из коммерческого решения в финансовую проблему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Складской запас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420 млн руб.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широкая матрица поддерживает продажи, но замораживает капитал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Медленные позиции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около 17% активных товарных позиций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ассортимента не дает достаточного вклада в результат</w:t>
            </w:r>
          </w:p>
        </w:tc>
      </w:tr>
    </w:tbl>
    <w:p/>
    <w:p>
      <w:pPr>
        <w:pStyle w:val="Heading1"/>
      </w:pPr>
      <w:r>
        <w:t>3. Первичная ошибка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8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думали до технологии</w:t>
            </w:r>
          </w:p>
        </w:tc>
        <w:tc>
          <w:tcPr>
            <w:tcW w:type="dxa" w:w="30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проверила Диагностика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оказалось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Главная проблема - слабая дисциплина клиентов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ли правила лимитов, отсрочек и владельцы исключений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просрочки была создана самими коммерческими условиями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Широкий склад - конкурентное преимущество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часть склада поддерживает маржу, скорость и повторный спрос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17% позиций замораживали деньги без достаточного вклада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тормозят продажи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Когда финансы подключаются к решению: до обещания клиенту или после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видели риск постфактум и выглядели запретителем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Нужно усилить взыскание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Связаны ли дебиторка, скидка, маржа, клиентский потенциал и склад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Без пересборки правил взыскание не решало источник проблемы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Нужно больше отчетов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ли единая версия фактов для решения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Отчетов было много, но решения принимались по разным цифрам</w:t>
            </w:r>
          </w:p>
        </w:tc>
      </w:tr>
    </w:tbl>
    <w:p/>
    <w:p>
      <w:pPr>
        <w:pStyle w:val="Heading1"/>
      </w:pPr>
      <w:r>
        <w:t>4. Проблемная единица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1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</w:t>
            </w:r>
          </w:p>
        </w:tc>
        <w:tc>
          <w:tcPr>
            <w:tcW w:type="dxa" w:w="75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Формулировка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Рост выручки поддерживается отсрочками, скидками и широким складом, но эти условия не связаны с маржей, лимитом риска и оборачиваемостью.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Симптомы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Просрочка, спор продаж и финансов, медленный склад, разные версии маржи клиента, ручные исключения по условиям.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Метрики проверки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маржа клиента; срок оплаты; просрочка; оборачиваемость склада; стоимость финансирования; доля заказных позиций.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Граница решения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Нельзя давать новое спецусловие без проверки лимита, маржи, истории платежей и складской нагрузки.</w:t>
            </w:r>
          </w:p>
        </w:tc>
      </w:tr>
    </w:tbl>
    <w:p/>
    <w:p>
      <w:pPr>
        <w:pStyle w:val="Heading1"/>
      </w:pPr>
      <w:r>
        <w:t>5. Диагностика: проверка текущего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Блок проверки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уже есть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Отчеты по продажам, складские остатки, реестр дебиторки, клиентская база, кредитные договоры, управленческие отчеты.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работает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Быстрая логистика, отношения с подрядчиками, сильное складское ядро с высокой оборачиваемостью.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разорвано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Связь между маржей клиента, отсрочкой, скидкой, оборачиваемостью товара и лимитом риска.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не надо трогать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Ключевые товарные группы с высокой скоростью и стабильной маржей, которые создают реальное конкурентное преимущество.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Что надо пересобрать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Правила спецусловий, клиентские лимиты, складскую матрицу, панель единой версии фактов.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Диагностический вердикт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Идти дальше / Go: триггеры связаны между собой и не решаются одной функцией.</w:t>
            </w:r>
          </w:p>
        </w:tc>
      </w:tr>
    </w:tbl>
    <w:p/>
    <w:p>
      <w:pPr>
        <w:pStyle w:val="Heading1"/>
      </w:pPr>
      <w:r>
        <w:t>6. Триггеры и функции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Триггер</w:t>
            </w:r>
          </w:p>
        </w:tc>
        <w:tc>
          <w:tcPr>
            <w:tcW w:type="dxa" w:w="77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проявился в кейсе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T2 маржинальность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Рост оборота не превращается в денежный результат.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T3 ассортимент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Складская ширина стала источником замороженного капитала.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T8 решения тормозят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Сложные клиенты возвращаются на ручное согласование.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T9 спорные данные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Продажи, финансы и склад используют разные версии фактов.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T11 шок условий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Стоимость денег усиливает цену отсрочки и ошибки лимита.</w:t>
            </w:r>
          </w:p>
        </w:tc>
      </w:tr>
    </w:tbl>
    <w:p/>
    <w:p>
      <w:pPr>
        <w:pStyle w:val="Heading1"/>
      </w:pPr>
      <w:r>
        <w:t>7. Сессия: выбранный рабочий набор</w:t>
      </w:r>
    </w:p>
    <w:p>
      <w:pPr>
        <w:spacing w:after="120"/>
      </w:pPr>
      <w:r>
        <w:rPr>
          <w:rFonts w:ascii="Arial" w:hAnsi="Arial"/>
          <w:sz w:val="18"/>
        </w:rPr>
        <w:t>Ниже дан навигационный набор: по коду можно найти модель или инструмент в справочнике и первоисточнике; по функции видно, какой участок компании он обеспечивает; по причине выбора видно, зачем он включен именно в этот кейс.</w:t>
      </w:r>
    </w:p>
    <w:tbl>
      <w:tblPr>
        <w:tblStyle w:val="TableGrid"/>
        <w:tblW w:type="dxa" w:w="9720"/>
        <w:tblLayout w:type="fixed"/>
        <w:tblLook w:firstColumn="1" w:firstRow="1" w:lastColumn="0" w:lastRow="0" w:noHBand="0" w:noVBand="1" w:val="04A0"/>
        <w:jc w:val="left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1152"/>
        <w:gridCol w:w="892"/>
        <w:gridCol w:w="3168"/>
        <w:gridCol w:w="1756"/>
        <w:gridCol w:w="2966"/>
      </w:tblGrid>
      <w:tr>
        <w:trPr>
          <w:tblHeader w:val="true"/>
          <w:cantSplit/>
        </w:trPr>
        <w:tc>
          <w:tcPr>
            <w:tcW w:type="dxa" w:w="115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Слой</w:t>
            </w:r>
          </w:p>
        </w:tc>
        <w:tc>
          <w:tcPr>
            <w:tcW w:type="dxa" w:w="892"/>
            <w:vAlign w:val="center"/>
            <w:shd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Код</w:t>
            </w:r>
          </w:p>
        </w:tc>
        <w:tc>
          <w:tcPr>
            <w:tcW w:type="dxa" w:w="3168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Точное название</w:t>
            </w:r>
          </w:p>
        </w:tc>
        <w:tc>
          <w:tcPr>
            <w:tcW w:type="dxa" w:w="175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Функция / фокус</w:t>
            </w:r>
          </w:p>
        </w:tc>
        <w:tc>
          <w:tcPr>
            <w:tcW w:type="dxa" w:w="2966"/>
            <w:shd w:fill="1F4E7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/>
                <w:sz w:val="13"/>
              </w:rPr>
              <w:t>Зачем выбран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Ансоффа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Рост / стратегия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какой рост нужен дистрибутору: оборот любой ценой или управляемое развитие клиентов и товарных групп.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STR-0045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GE/McKinsey Matrix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Портфельный анализ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Разделяет клиентов и товарные группы по привлекательности, марже, риску дебиторки и силе позиции компании.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STR-0073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RFM-анализ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Поведение клиентов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кто покупает часто, кто дает оборот, а кто превращает отсрочку в хронический долг.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STR-0069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Porter’s Value Chain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Цепочка ценности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Связывает закупку, склад, логистику, продажи, отсрочку и фактическую прибыль клиента.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STR-0033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Decision Tree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Принятие решений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Фиксирует развилки по спецусловиям: дать лимит, сократить поставку, перевести в предоплату или остановить сделку.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стратегические модели / STR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STR-0019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Bain RAPID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Распределение решений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Убирает право одного коммерсанта единолично обещать скидку, отсрочку и приоритет склада.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OPE-0021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Ежедневный отчет по остаткам и движению денежных средств / Daily Cash Position Sheet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Дает ежедневную видимость денег, входящих платежей и риска кассового разрыва.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OPE-0022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План-факт по движению денежных средств / Cash Flow Fact vs Plan Dashboard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Сравнивает обещанные и фактические оплаты, чтобы дебиторка не пряталась в обороте.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Скользящий 13-недельный прогноз ДДС / Rolling Cash Flow Forecast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 цену отсрочки на горизонте поставок, закупок и кредитной нагрузки.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Живая панель управления / Dash Live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денежные показатели в один рабочий экран для финансового руководителя и собственника.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финансовый интеллект / FIN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FIN-0006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Денежный штаб / Cash War Room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Переводит критическую дебиторку и платежные разрывы в режим управляемого штаба.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OPE-0049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Быстрый обзор клиентского портфеля для действий / Sales Snapshot Canvas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Делит клиентов по действиям: развивать, ограничивать, возвращать дисциплину или останавливать риск.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OPE-0048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Трекер тревожных сигналов по клиентам и сделкам / Sales Signal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Ловит ранние признаки: задержка оплаты, просьба расширить лимит, спор по документам, падение маржи.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OPE-0056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Система эскалации для сложных или застрявших сделок / Sales Escalation Framework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продажи / SLS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Задает маршрут согласования спецусловий выше порога риска.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OPE-0027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Контроль себестоимости по товарным позициям / SKU / Cost-per-Unit Tracker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финансы / FIN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Считает маржу товарной позиции с учетом закупки, логистики, скидки и условий клиента.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операционные инструменты / OPE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OPE-0094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Матрица рисков и уязвимостей / Risk Heatmap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операции / OPE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Собирает риски дебиторки, склада, цен и логистики в один список с владельцами.</w:t>
            </w:r>
          </w:p>
        </w:tc>
      </w:tr>
      <w:tr>
        <w:trPr>
          <w:cantSplit/>
        </w:trPr>
        <w:tc>
          <w:tcPr>
            <w:tcW w:type="dxa" w:w="115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CUS-0003</w:t>
            </w:r>
          </w:p>
        </w:tc>
        <w:tc>
          <w:tcPr>
            <w:tcW w:type="dxa" w:w="3168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Разрыв ценности / Value Gap</w:t>
            </w:r>
          </w:p>
        </w:tc>
        <w:tc>
          <w:tcPr>
            <w:tcW w:type="dxa" w:w="175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FFFFF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Показывает, где клиент получает скидку и отсрочку, но не создает ценность для компании.</w:t>
            </w:r>
          </w:p>
        </w:tc>
      </w:tr>
      <w:tr>
        <w:trPr>
          <w:cantSplit/>
        </w:trPr>
        <w:tc>
          <w:tcPr>
            <w:tcW w:type="dxa" w:w="115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клиентский интеллект / CUSTOMER</w:t>
            </w:r>
          </w:p>
        </w:tc>
        <w:tc>
          <w:tcPr>
            <w:tcW w:type="dxa" w:w="892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CUS-0011</w:t>
            </w:r>
          </w:p>
        </w:tc>
        <w:tc>
          <w:tcPr>
            <w:tcW w:type="dxa" w:w="3168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Простой расчет окупаемости / ROI Calc Simple</w:t>
            </w:r>
          </w:p>
        </w:tc>
        <w:tc>
          <w:tcPr>
            <w:tcW w:type="dxa" w:w="175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маркетинг / MRK</w:t>
            </w:r>
          </w:p>
        </w:tc>
        <w:tc>
          <w:tcPr>
            <w:tcW w:type="dxa" w:w="2966"/>
            <w:shd w:fill="F7FAFC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Arial" w:hAnsi="Arial" w:eastAsia="Arial"/>
                <w:b w:val="0"/>
                <w:sz w:val="12"/>
              </w:rPr>
              <w:t>Проверяет, окупается ли спецусловие через маржу, повтор и денежную дисциплину.</w:t>
            </w:r>
          </w:p>
        </w:tc>
      </w:tr>
    </w:tbl>
    <w:p/>
    <w:p>
      <w:pPr>
        <w:pStyle w:val="Heading1"/>
      </w:pPr>
      <w:r>
        <w:t>8. Мост стратегии и операций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37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Элемент моста</w:t>
            </w:r>
          </w:p>
        </w:tc>
        <w:tc>
          <w:tcPr>
            <w:tcW w:type="dxa" w:w="7343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Решение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Стратегическая ставка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просто удерживать всех клиентов, а выделить клиентов, которые дают управляемый вклад.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Операционный перевод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Каждое спецусловие проходит через лимит, маржу, историю платежей, складскую нагрузку и владельца решения.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результата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Коммерческий руководитель отвечает за клиента, финансовый руководитель - за лимит, операционный руководитель - за складскую исполнимость.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продолжения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Клиент получает улучшенные условия только при доказанном вкладе, платежной дисциплине или встречном обязательстве.</w:t>
            </w:r>
          </w:p>
        </w:tc>
      </w:tr>
    </w:tbl>
    <w:p/>
    <w:p>
      <w:pPr>
        <w:pStyle w:val="Heading1"/>
      </w:pPr>
      <w:r>
        <w:t>9. Спринт 30-60-90: проверка на практике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29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Период</w:t>
            </w:r>
          </w:p>
        </w:tc>
        <w:tc>
          <w:tcPr>
            <w:tcW w:type="dxa" w:w="525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делали</w:t>
            </w:r>
          </w:p>
        </w:tc>
        <w:tc>
          <w:tcPr>
            <w:tcW w:type="dxa" w:w="316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Выход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Сверить клиентскую базу, дебиторку, скидки и маржу; выделить 4 группы клиентов по риску и вкладу.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Единая карта клиентов и лимитов.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60 дней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Пересобрать складскую матрицу: быстрые позиции, заказной режим, вывод из запаса; запустить маршрут спецусловий.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Правила склада и коммерческих исключений.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90 дней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Проверить новые правила на ключевых клиентах и новых заказах; закрепить еженедельный контур финансов и продаж.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Рабочий ритм управления дебиторкой и маржей.</w:t>
            </w:r>
          </w:p>
        </w:tc>
      </w:tr>
    </w:tbl>
    <w:p/>
    <w:p>
      <w:pPr>
        <w:pStyle w:val="Heading1"/>
      </w:pPr>
      <w:r>
        <w:t>10. Сопровождение: закрепление контура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Контур</w:t>
            </w:r>
          </w:p>
        </w:tc>
        <w:tc>
          <w:tcPr>
            <w:tcW w:type="dxa" w:w="76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Что закрепили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Контроль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Каждые две недели проверялись просрочка, лимиты, маржа клиента, оборачиваемость склада и отклонения спецусловий.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Корректировка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клиентов получила лимит по предоплате, часть - лимит отсрочки, часть - запрет на скидку без роста объема или снижения риска.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Закрепление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вошли в маршрут решения до обещания клиенту; склад перестал держать медленные позиции без владельца решения.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Решение следующей волны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Переоценить клиентов и товарные группы через 90 дней, затем расширить правила на все филиалы.</w:t>
            </w:r>
          </w:p>
        </w:tc>
      </w:tr>
    </w:tbl>
    <w:p/>
    <w:p>
      <w:pPr>
        <w:pStyle w:val="Heading1"/>
      </w:pPr>
      <w:r>
        <w:t>11. До / После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460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511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 спорили с финансами по каждому сложному клиенту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 каждого типа клиента появились правила условий и лимитов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расширялся по логике “пусть будет”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разделен на ядро, заказной режим и кандидатов на 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Данные по марже и дебиторке спорили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Введена единая панель фактов для коммерческого решения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Кредит закрывал управленческие ошибки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Кредитная нагрузка стала показателем качества роста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Исключения решались устно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Исключения проходят через маршрут спецусловий</w:t>
            </w:r>
          </w:p>
        </w:tc>
      </w:tr>
    </w:tbl>
    <w:p/>
    <w:p>
      <w:pPr>
        <w:pStyle w:val="Heading1"/>
      </w:pPr>
      <w:r>
        <w:t>12. Изменение управленческого результата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Показатель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До</w:t>
            </w:r>
          </w:p>
        </w:tc>
        <w:tc>
          <w:tcPr>
            <w:tcW w:type="dxa" w:w="3960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После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Клиентские лимиты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 были связаны с маржей и платежной историей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пересчитаны по 4 группам риска и вклада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Складская матрица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широкий запас ради наличия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часть позиций переведена в заказной режим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Просрочка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обсуждалась как проблема взыскания</w:t>
            </w:r>
          </w:p>
        </w:tc>
        <w:tc>
          <w:tcPr>
            <w:tcW w:type="dxa" w:w="3317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разобрана как следствие правил продаж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Единая версия фактов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отсутствовала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запущена панель для продаж, финансов и операций</w:t>
            </w:r>
          </w:p>
        </w:tc>
      </w:tr>
    </w:tbl>
    <w:p/>
    <w:p>
      <w:pPr>
        <w:pStyle w:val="Heading1"/>
      </w:pPr>
      <w:r>
        <w:t>13. Артефакты, которые остались у клиента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Артефакт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карта клиентских лимитов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маржинальная матрица клиентов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матрица склада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маршрут спецусловий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панель дебиторки и маржи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реестр исключений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правила еженедельного разбора</w:t>
            </w:r>
          </w:p>
        </w:tc>
      </w:tr>
    </w:tbl>
    <w:p/>
    <w:p>
      <w:pPr>
        <w:pStyle w:val="Heading1"/>
      </w:pPr>
      <w:r>
        <w:t>14. Почему без технологии проблема осталась бы скрытой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Без проSTRAнство компания продолжила бы спорить внутри функций: продажи защищали бы рост, финансы - деньги, операции - исполнимость, маркетинг - клиентскую ценность. Технология заставила собрать проблему в одну проверяемую единицу и довести ее до решения, владельцев, показателей и Спринта.</w:t>
            </w:r>
          </w:p>
        </w:tc>
      </w:tr>
    </w:tbl>
    <w:p/>
    <w:p>
      <w:pPr>
        <w:pStyle w:val="Heading1"/>
      </w:pPr>
      <w:r>
        <w:t>15. Фрагмент диагностического протокола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208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Проверка</w:t>
            </w:r>
          </w:p>
        </w:tc>
        <w:tc>
          <w:tcPr>
            <w:tcW w:type="dxa" w:w="352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звучало до технологии</w:t>
            </w:r>
          </w:p>
        </w:tc>
        <w:tc>
          <w:tcPr>
            <w:tcW w:type="dxa" w:w="4104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было формализовано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Входной вопрос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Почему прибыль не растет вместе с выручкой?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Переформулирован: какие клиенты и условия создают управляемый вклад, а какие покупают оборот за счет денег.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Неясная зона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Продажи, финансы и склад считали прибыльность клиента по-разному.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Создана единая версия фактов по клиенту и заказу.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Неформулируемая проблема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Широкий склад был символом силы, но часть склада финансировала слабые решения.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Складская матрица разделена на ядро, заказной режим и вывод.</w:t>
            </w:r>
          </w:p>
        </w:tc>
      </w:tr>
      <w:tr>
        <w:trPr>
          <w:cantSplit/>
        </w:trPr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Скрытый риск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Дорогие деньги усиливали цену отсрочки, но коммерция не видела ее в момент обещания.</w:t>
            </w:r>
          </w:p>
        </w:tc>
        <w:tc>
          <w:tcPr>
            <w:tcW w:type="dxa" w:w="3317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Стоимость отсрочки включена в маршрут спецусловий.</w:t>
            </w:r>
          </w:p>
        </w:tc>
      </w:tr>
      <w:tr>
        <w:trPr>
          <w:cantSplit/>
        </w:trPr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Критерий готовности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Есть данные по клиенту, платежам, марже, складу и полномочиям.</w:t>
            </w:r>
          </w:p>
        </w:tc>
        <w:tc>
          <w:tcPr>
            <w:tcW w:type="dxa" w:w="3317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Сессия разрешена.</w:t>
            </w:r>
          </w:p>
        </w:tc>
      </w:tr>
    </w:tbl>
    <w:p/>
    <w:p/>
    <w:p/>
    <w:p>
      <w:pPr>
        <w:pStyle w:val="Heading1"/>
      </w:pPr>
      <w:r>
        <w:t>16. Роли и владельцы решения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95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Роль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Ответственность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Коммерческий руководитель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клиентского потенциала и встречного обязательства клиента.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Финансовый руководитель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лимита, стоимости отсрочки и запрета на слабое условие.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Операционный руководитель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складской матрицы и оборачиваемости.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Руководитель данных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Владелец единой версии фактов по клиенту, долгу, марже и складу.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Генеральный директор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Снимает только спорные исключения выше порогов, а не заменяет маршрут.</w:t>
            </w:r>
          </w:p>
        </w:tc>
      </w:tr>
    </w:tbl>
    <w:p/>
    <w:p>
      <w:pPr>
        <w:pStyle w:val="Heading1"/>
      </w:pPr>
      <w:r>
        <w:t>17. Риски, стоп-линии и защита от отката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3311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Риск</w:t>
            </w:r>
          </w:p>
        </w:tc>
        <w:tc>
          <w:tcPr>
            <w:tcW w:type="dxa" w:w="6408"/>
            <w:vAlign w:val="center"/>
            <w:shd w:fill="E8EEF5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Как закрывается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Коммерция обходит маршрут через срочность клиента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Заказ не отгружается без лимита и маржи в карточке решения.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превращаются в запретителя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Финансы включаются до обещания клиенту, а не после.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Склад сопротивляется выводу позиций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Каждая медленная позиция получает роль, владельца или решение на вывод.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Клиент давит угрозой уйти</w:t>
            </w:r>
          </w:p>
        </w:tc>
        <w:tc>
          <w:tcPr>
            <w:tcW w:type="dxa" w:w="4975"/>
            <w:shd w:fill="FBFAF6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Угроза проверяется через вклад клиента и альтернативу загрузки склада.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Данные снова расходятся</w:t>
            </w:r>
          </w:p>
        </w:tc>
        <w:tc>
          <w:tcPr>
            <w:tcW w:type="dxa" w:w="4975"/>
            <w:shd w:fill="FFFFFF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Еженедельная сверка единой панели обязательна.</w:t>
            </w:r>
          </w:p>
        </w:tc>
      </w:tr>
    </w:tbl>
    <w:p/>
    <w:p>
      <w:pPr>
        <w:pStyle w:val="Heading1"/>
      </w:pPr>
      <w:r>
        <w:t>18. Управленческий комментарий</w:t>
      </w:r>
    </w:p>
    <w:p>
      <w:pPr>
        <w:spacing w:after="80" w:line="269" w:lineRule="auto"/>
      </w:pPr>
      <w:r>
        <w:t>Для собственника кейс показал неприятную вещь: часть роста была не заработана, а профинансирована компанией за свой счет. Клиенты выглядели крупными, склад выглядел сильным, продажи выглядели активными, но единый денежный результат был слабее, чем ожидалось.</w:t>
      </w:r>
    </w:p>
    <w:p>
      <w:pPr>
        <w:spacing w:after="80" w:line="269" w:lineRule="auto"/>
      </w:pPr>
      <w:r>
        <w:t>После технологии управленческий разговор стал точнее. Компания перестала спрашивать “дать ли скидку хорошему клиенту” и начала спрашивать “какое встречное обязательство, какой лимит и какой вклад делают это условие разумным”.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7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Итог кейса: технология сработала не потому, что дала красивую сессию, а потому, что заставила компанию назвать проблемную единицу, проверить текущий контур, выбрать ограниченный рабочий набор, построить мост и довести решение до Спринта с владельцами и контрольными точками.</w:t>
            </w:r>
          </w:p>
        </w:tc>
      </w:tr>
    </w:tbl>
    <w:p/>
    <w:p>
      <w:pPr>
        <w:pStyle w:val="Heading1"/>
      </w:pPr>
      <w:r>
        <w:t>19. Контрольные вопросы для Диагностики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64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№</w:t>
            </w:r>
          </w:p>
        </w:tc>
        <w:tc>
          <w:tcPr>
            <w:tcW w:type="dxa" w:w="907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Вопрос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1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клиенты дают маржу после учета отсрочки, скидки и стоимости финансирования?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2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часть дебиторки возникла из-за коммерческих правил, а не из-за плохого взыскания?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3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Какие товарные группы должны быть на складе, а какие можно держать только под заказ?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4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Кто имеет право дать исключение по скидке или отсрочке и на каком пакете данных?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5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Где проходит граница между стратегическим клиентом и клиентом, который финансируется за счет компании?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6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Какая единая версия фактов используется продажами, финансами и складом?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7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Какой показатель докажет через 90 дней, что рост стал качественнее?</w:t>
            </w:r>
          </w:p>
        </w:tc>
      </w:tr>
    </w:tbl>
    <w:p/>
    <w:p>
      <w:pPr>
        <w:pStyle w:val="Heading1"/>
      </w:pPr>
      <w:r>
        <w:t>20. Полевая версия вывода</w:t>
      </w:r>
    </w:p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4975"/>
        <w:gridCol w:w="4975"/>
      </w:tblGrid>
      <w:tr>
        <w:trPr>
          <w:tblHeader w:val="true"/>
          <w:cantSplit/>
        </w:trPr>
        <w:tc>
          <w:tcPr>
            <w:tcW w:type="dxa" w:w="2232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Адресат</w:t>
            </w:r>
          </w:p>
        </w:tc>
        <w:tc>
          <w:tcPr>
            <w:tcW w:type="dxa" w:w="7488"/>
            <w:vAlign w:val="center"/>
            <w:shd w:fill="E8EEF5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/>
                <w:color w:val="0B2545"/>
                <w:sz w:val="14"/>
              </w:rPr>
              <w:t>Вывод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собственника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Главный риск не в том, что клиенты плохо платят. Риск в том, что компания сама создала условия, при которых рост требует все больше чужого и собственного финансирования.</w:t>
            </w:r>
          </w:p>
        </w:tc>
      </w:tr>
      <w:tr>
        <w:trPr>
          <w:cantSplit/>
        </w:trPr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команды</w:t>
            </w:r>
          </w:p>
        </w:tc>
        <w:tc>
          <w:tcPr>
            <w:tcW w:type="dxa" w:w="4975"/>
            <w:shd w:fill="FBFAF6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Спецусловие становится не уступкой коммерсанта, а управленческим решением с лимитом, маржей, историей платежей и складской логикой.</w:t>
            </w:r>
          </w:p>
        </w:tc>
      </w:tr>
      <w:tr>
        <w:trPr>
          <w:cantSplit/>
        </w:trPr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Для следующего шага</w:t>
            </w:r>
          </w:p>
        </w:tc>
        <w:tc>
          <w:tcPr>
            <w:tcW w:type="dxa" w:w="4975"/>
            <w:shd w:fill="FFFFFF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4"/>
              </w:rPr>
              <w:t>После первой волны правила нужно распространить на филиалы и закрепить еженедельный разбор дебиторки, маржи и склада.</w:t>
            </w:r>
          </w:p>
        </w:tc>
      </w:tr>
    </w:tbl>
    <w:p/>
    <w:tbl>
      <w:tblPr>
        <w:tblW w:type="dxa" w:w="9720"/>
        <w:jc w:val="left"/>
        <w:tblLayout w:type="fixed"/>
        <w:tblLook w:firstColumn="1" w:firstRow="1" w:lastColumn="0" w:lastRow="0" w:noHBand="0" w:noVBand="1" w:val="04A0"/>
        <w:tblInd w:type="dxa" w:w="100"/>
        <w:tblBorders>
          <w:top w:val="single" w:sz="4" w:space="0" w:color="D7D0C3"/>
          <w:left w:val="single" w:sz="4" w:space="0" w:color="D7D0C3"/>
          <w:bottom w:val="single" w:sz="4" w:space="0" w:color="D7D0C3"/>
          <w:right w:val="single" w:sz="4" w:space="0" w:color="D7D0C3"/>
          <w:insideH w:val="single" w:sz="4" w:space="0" w:color="D7D0C3"/>
          <w:insideV w:val="single" w:sz="4" w:space="0" w:color="D7D0C3"/>
        </w:tblBorders>
        <w:tblCellMar>
          <w:top w:w="55" w:type="dxa"/>
          <w:start w:w="75" w:type="dxa"/>
          <w:bottom w:w="55" w:type="dxa"/>
          <w:end w:w="75" w:type="dxa"/>
        </w:tblCellMar>
      </w:tblPr>
      <w:tblGrid>
        <w:gridCol w:w="9951"/>
      </w:tblGrid>
      <w:tr>
        <w:trPr>
          <w:tblHeader w:val="true"/>
          <w:cantSplit/>
        </w:trPr>
        <w:tc>
          <w:tcPr>
            <w:tcW w:type="dxa" w:w="9720"/>
            <w:vAlign w:val="center"/>
            <w:shd w:fill="F7F3EA"/>
          </w:tcPr>
          <w:p>
            <w:pPr>
              <w:spacing w:after="0" w:line="245" w:lineRule="auto"/>
            </w:pPr>
            <w:r/>
            <w:r>
              <w:rPr>
                <w:rFonts w:ascii="Calibri" w:hAnsi="Calibri" w:eastAsia="Calibri"/>
                <w:b w:val="0"/>
                <w:color w:val="2F3437"/>
                <w:sz w:val="16"/>
              </w:rPr>
              <w:t>Эти вопросы и выводы нужны не для презентационной красоты, а для первого разговора с похожей компанией. Если клиент узнает себя в трех и более вопросах, Диагностика имеет смысл; если он не готов отвечать фактами, переходить к Сессии рано.</w:t>
            </w:r>
          </w:p>
        </w:tc>
      </w:tr>
    </w:tbl>
    <w:p/>
    <w:sectPr w:rsidR="00FC693F" w:rsidRPr="0006063C" w:rsidSect="00034616"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2F34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