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Calibri" w:hAnsi="Calibri"/>
          <w:b/>
          <w:i w:val="0"/>
          <w:color w:val="0B1F33"/>
          <w:sz w:val="48"/>
        </w:rPr>
        <w:t>проSTRAнство</w:t>
      </w:r>
    </w:p>
    <w:p>
      <w:pPr>
        <w:spacing w:before="0" w:after="200" w:line="259" w:lineRule="auto"/>
      </w:pPr>
      <w:r>
        <w:rPr>
          <w:rFonts w:ascii="Calibri" w:hAnsi="Calibri"/>
          <w:b/>
          <w:i w:val="0"/>
          <w:color w:val="B46A3C"/>
          <w:sz w:val="30"/>
        </w:rPr>
        <w:t>Контентный контракт визуализаций 01-12 V1</w:t>
      </w:r>
    </w:p>
    <w:p>
      <w:pPr>
        <w:spacing w:before="0" w:after="16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Назначение: передать дизайнеру готовый смысловой контракт для мастер-слайдов / slide-master визуализаций технологии без заглушек / placeholder и без права домысливать содержание.</w:t>
      </w:r>
    </w:p>
    <w:p>
      <w:pPr>
        <w:spacing w:before="0" w:after="240" w:line="259" w:lineRule="auto"/>
      </w:pPr>
      <w:r>
        <w:rPr>
          <w:rFonts w:ascii="Calibri" w:hAnsi="Calibri"/>
          <w:b/>
          <w:i w:val="0"/>
          <w:color w:val="111827"/>
          <w:sz w:val="21"/>
        </w:rPr>
        <w:t>Граница работы: это не дизайн, не маркетинговая презентация и не набор рекламных изображений. Это точный текстовый контракт схем.</w:t>
      </w: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0. Управляющие правила для всей серии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Единый маршрут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управленческая проблема → триггеры → отбор стратегических фреймворков → мост → операционные инструменты → владельцы → метрики → Спринт 30-60-90</w:t>
            </w:r>
          </w:p>
        </w:tc>
      </w:tr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Главный запрет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Не превращать проSTRAнство в каталог моделей, стратегическую сессию, аудит ради отчета или проектный офис.</w:t>
            </w:r>
          </w:p>
        </w:tc>
      </w:tr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Платный вход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Диагностика всегда первый платный продукт и может завершиться решением запускать, запускать с условиями, удержать или остановить.</w:t>
            </w:r>
          </w:p>
        </w:tc>
      </w:tr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Состав серии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12 визуализаций: клиентский, консультантский, внутренний, коммерческий и кейсовый слои.</w:t>
            </w:r>
          </w:p>
        </w:tc>
      </w:tr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Визуальный стиль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строгий чертеж / Blueprint Sharp как база схем; управленческое досье / Executive Dossier как коммерческая оболочка; премиальная диагностика / Diagnostic Premium для вердиктов, рисков и остановки.</w:t>
            </w:r>
          </w:p>
        </w:tc>
      </w:tr>
      <w:tr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Языковое правило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Русский термин первым. Английский термин используется только через / как пояснение, если он нужен для методической точности.</w:t>
            </w:r>
          </w:p>
        </w:tc>
      </w:tr>
    </w:tbl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01. Ядро проSTRAнства: от проблемы к исполнению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За 30 секунд объяснить, что технология является экспертной системой отбора и сцепки, а не каталогом моделей.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Ядро проSTRAнства: от проблемы к исполнению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За 30 секунд объяснить, что технология является экспертной системой отбора и сцепки, а не каталогом моделей.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клиентский слой; коммерческий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поток / flow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 связывает стратегический выбор с операционным исполнением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Путь начинается с управленческой проблемы и заканчивается владельцами, метриками и Спринтом 30-60-90.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Проблема: что болит в управлении и результате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Триггеры: что включает необходимость выбора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Фреймворки: 5-7 стратегических рамок под задачу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Мост: перевод стратегии в операционный контур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Инструменты: 3-5 операционных инструментов в работу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Владельцы: кто отвечает за действие и данные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Метрики: как измеряется результат и откат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Спринт 30-60-90: проверка выбранного контура в действии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медная стрелка = обязательный логический переход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темно-синий блок = ключевой механизм технологии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бирюзовая метка = данные, владельцы, устойчивость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метка = риск неверного перехода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каталог стратегических фреймворков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стратегическая сессия ради презентации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запуск всех инструментов сразу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экспертный выбор + мост в исполнение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платную Диагностику как вход в технологию.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100 стратегических фреймворков и уникальное инструментальное ядро 115 как клиентское меню.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увеличивать Спринт сверх 3-5 операционных инструментов.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Заказчик за один взгляд понимает путь: проблема → выбор → мост → исполнение, без ощущения каталога моделей.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02. Почему проSTRAнство не является каталогом моделей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Снять главный риск неправильной категории: клиент должен понять, что ценность не в перечне моделей, а в точном отборе под доказанную задачу.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Почему проSTRAнство не является каталогом моделей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Снять главный риск неправильной категории: клиент должен понять, что ценность не в перечне моделей, а в точном отборе под доказанную задачу.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клиентский слой; коммерческий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матрица / matrix отличий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Ценность не в количестве моделей, а в точности выбора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 не раскрывает библиотеку как меню; оно сужает поле до рабочего набора под проблему.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Если это каталог: клиент выбирает из большого списка и спорит о подходах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Если это проSTRAнство: проблема формализуется и отбор делает экспертная система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Каталог дает ширину выбора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 дает узкий рабочий набор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Каталог заканчивается знанием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 заканчивается мостом, владельцами, метриками и Спринтом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левая зона = неправильная категория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правая зона = правильная логика технологии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медный переход = сужение поля выбора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красный маркер = риск подмены продукта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библиотека лучших практик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обучение фреймворкам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витрина 100 стратегических рамок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не меню моделей, а точный выбор под задачу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Вопросы и ответы по аудиториям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писать, что клиент выбирает модели сам.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делать визуал с множеством равноправных карточек инструментов.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использовать формулу “чем больше моделей, тем сильнее технология”.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После схемы понятно, почему показывать библиотеку первым экраном методологически опасно.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03. Диагностика управленческой задачи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 Диагностику как обязательный платный вход, который проверяет применимость технологии и защищает клиента от лишней Сессии.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Диагностика управленческой задачи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 Диагностику как обязательный платный вход, который проверяет применимость технологии и защищает клиента от лишней Сессии.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коммерческий слой; консультантский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диагностическая карта / diagnostic map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Диагностика проверяет, есть ли задача для проSTRAнства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На входе жалоба клиента; на выходе карта проблемной единицы, текущий контур и вердикт следующего шага.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Жалоба: как клиент формулирует проблему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Факты: что подтверждает или опровергает жалобу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Текущий контур: что уже есть, что работает, что разорвано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Проблемная единица / Problem Unit: управленческий разрыв в стандартизированной форме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Мандат: кто имеет право менять контур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Вердикт: запускать Сессию; запускать с условиями; удержать; остановить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синий контур = область проверки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бирюзовая метка = подтвержденные данные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янтарная метка = условие перехода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метка = остановка или запрет перехода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бесплатный пресейл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аудит ради отчета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обещание Спринта до проверки моста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Диагностика - платный вход и право остановить неверный шаг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Пакет продажи Диагностики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Сессию как автоматический следующий шаг.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выдавать Диагностику за бесплатную консультацию.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обещать готовый план внедрения до Сессии и моста.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Схема продает ценность Диагностики сама по себе и показывает, что честная остановка является результатом, а не провалом.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04. Экспертная система триггеров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как технология переводит симптомы в ранжированные триггеры и ограничивает фокус Сессии.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Экспертная система триггеров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как технология переводит симптомы в ранжированные триггеры и ограничивает фокус Сессии.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консультантский слой; внутренний методологический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дерево решений / decision tree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сложная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Триггеры помогают не распылить Сессию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После Диагностики триггеры ранжируются и группируются: одна Сессия работает только с 1-3 связанными триггерами.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Симптом: клиентская жалоба или наблюдаемый сбой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Проверка фактов: данные, деньги, клиент, операции, решения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Триггер: причина входа в стратегическо-операционную работу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Ранг: сила влияния на результат и управляемость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Группа: 1-3 связанных триггера на одну Сессию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Отсечение: лишние триггеры уходят в следующий цикл или не берутся в работу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толстая стрелка = доминирующий маршрут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пунктир = отложенный триггер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красный разрыв = нельзя объединять в одну шумную Сессию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бирюза = подтвержденный триггер с данными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голосование за любимые темы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попытка решить все 14 триггеров за один день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расширение Сессии до общего стратегического обсуждения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один цикл работает с ограниченным числом связанных триггеров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делать одну большую Сессию по всем найденным триггерам.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триггеры как равные по силе без ранжирования.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связь триггера с фактами и проблемной единицей.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 видит правило фокуса: триггеры сначала доказываются, затем ранжируются, затем группируются для Сессии.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05. Отбор стратегических фреймворков из большого поля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как из большого поля стратегических фреймворков выбираются только 5-7 нужных для текущей управленческой задачи.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Отбор стратегических фреймворков из большого поля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как из большого поля стратегических фреймворков выбираются только 5-7 нужных для текущей управленческой задачи.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клиентский слой; консультантский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архитектурная карта / architecture map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Фреймворки выбираются по задаче, а не по привычке консультанта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Большое поле остается внутри технологии; клиент получает объясненный рабочий набор.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Большое поле: стратегические фреймворки как внутренняя библиотека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Фильтр 1: проблемная единица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Фильтр 2: триггеры и наборы S/O/X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Фильтр 3: текущий контур клиента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Фильтр 4: доказательства и ограничения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Рабочий набор: 5-7 стратегических фреймворков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Выход: стратегический результат, который можно перевести в мост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широкий светлый фон = внутреннее поле выбора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медные фильтры = логика сужения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темно-синий выход = выбранный рабочий набор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метка = нельзя показывать поле как меню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демонстрация всех фреймворков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выбор по вкусу команды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стратегический воркшоп без операционного выхода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выбранные фреймворки должны давать выход для моста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Справочник инструментов и карточек знания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называть внутреннюю библиотеку клиентским меню.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выводить список всех стратегических фреймворков на схему.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стратегический выбор отдельно от операционного перевода.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Схема объясняет, почему клиент получает 5-7 выбранных фреймворков, а не список всего, что известно консультанту.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06. Мост от стратегии к операционным инструментам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 центральный механизм технологии: стратегический выход не остается презентацией, а переводится в операционный инструмент, владельца, метрику и ритм.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Мост от стратегии к операционным инструментам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 центральный механизм технологии: стратегический выход не остается презентацией, а переводится в операционный инструмент, владельца, метрику и ритм.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консультантский слой; клиентский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карта моста / bridge map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сложная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Мост превращает стратегический вывод в управляемое действие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Нет стратегического выхода - нет моста. Нет моста - нет Спринта.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Стратегический выход: что выбрано и почему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Операционный перевод: какой контур должен измениться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Инструмент: что запускается в функции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Владелец: кто отвечает за действие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Метрика: как измеряется эффект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Ритм: как часто проверяется прогресс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Артефакт Спринта: что остается в управлении клиента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темно-синяя центральная зона = мост / Bridge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медные стрелки = обязательная логика перевода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бирюзовые точки = владельцы и данные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блокировка = инструмент нельзя запускать без стратегической связи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список инициатив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таблица задач без стратегического основания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проектный офис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мост допускает в Спринт только связанный рабочий набор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Реестр артефактов и переходов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запускать инструмент без связи со стратегическим выбором.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заменять владельца общей ответственностью команды.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метрику и ритм из схемы моста.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 схеме видно, как стратегический вывод становится операционным действием, а не остается слайдом.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07. Операционные инструменты и измерители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что операционный слой в технологии работает через ограниченный набор инструментов, связанных с функцией, владельцем и метрикой.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Операционные инструменты и измерители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что операционный слой в технологии работает через ограниченный набор инструментов, связанных с функцией, владельцем и метрикой.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консультантский слой; внутренний методологический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матрица / matrix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 Спринт попадает не инструмент, а управляемая связка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Каждый выбранный инструмент получает функцию, владельца, метрику, ритм и критерий вердикта.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Инструмент: что запускаем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Функция: где живет инструмент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Владелец: кто принимает и держит решение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Метрика: чем измеряется движение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Базовая линия: от чего считаем эффект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Ритм: недельный или иной цикл контроля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Вердикт: масштабировать, продолжить, пересобрать, остановить, передать клиенту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строка матрицы = один выбранный инструмент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бирюза = данные и устойчивость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медь = переход от выбора к действию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красный = нет владельца, данных или метрики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выгрузка всего инструментального ядра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список задач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операционная таблица без стратегического выхода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3-5 инструментов в Спринте должны быть измеримыми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Инструментальное ядро по функциям v0.2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уникальное инструментальное ядро 115 как меню.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запускать больше 3-5 инструментов в одном Спринте.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отделять инструмент от функции, владельца и метрики.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Схема доказывает, что операционный слой управляем, а не является набором названий инструментов.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08. Клиентский путь четырех продуктов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как клиент покупает и проходит технологию без автоматической продажи следующего этапа.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Клиентский путь четырех продуктов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как клиент покупает и проходит технологию без автоматической продажи следующего этапа.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коммерческий слой; клиентский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продуктовая лестница / product ladder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 проходит четыре продукта, но каждый переход проверяется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Диагностика - обязательный платный вход; Сессия, Спринт и Сопровождение идут только при подтвержденных условиях.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До продукта: первичный разговор и квалификация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01. Диагностика: задача, текущий контур, вердикт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02. Сессия: рабочий набор, мост, устав Спринта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03. Спринт 30-60-90: владельцы, метрики, ритм, проверка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04. Сопровождение: устойчивость, откат, самостоятельность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Контрольные переходы: запускать; запускать с условиями; удержать; остановить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лестница = платные продукты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пунктир до лестницы = квалификация, не продукт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цветные метки = вердикты перехода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обратная стрелка = возврат на пересборку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продажа всей цепочки сразу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Сессия первым шагом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Сопровождение без объекта после Спринта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следующий продукт покупается только после проверенного перехода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Коммерческий пакет проSTRAнства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называть первый разговор продуктом технологии.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переход Диагностика → Сессия как автоматический.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право удержать или остановить работу.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CEO видит, что покупает платный вход в проверку, а не длинный проект без контрольных ворот.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09. Сессия: сбор решения и контура внедрения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 Сессию как точку сборки рабочего набора и моста, а не как мозговой штурм или обычную стратегическую встречу.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Сессия: сбор решения и контура внедрения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 Сессию как точку сборки рабочего набора и моста, а не как мозговой штурм или обычную стратегическую встречу.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консультантский слой; клиентский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архитектурная карта / architecture map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Сессия собирает рабочий набор и мост к Спринту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Входом является диагностический вердикт; выходом - выбранные фреймворки, 3-5 инструментов, владельцы, метрики и устав Спринта.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Вход: диагностический вердикт и 1-3 связанных триггера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Уточнение: 3-5 ядровых проблемных единиц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Выбор: 5-7 стратегических фреймворков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Рассмотрение: 10-20 операционных инструментов как поле отбора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Сужение: 3-5 инструментов в мост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Сборка: владелец, метрика, ритм, артефакт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Выход: Bridge Map и устав Спринта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синий центр = рабочая сборка Сессии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медные фильтры = последовательное сужение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бирюзовая метка = подтвержденный владелец или данные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метка = нет моста, нет Спринта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мозговой штурм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выбор любимых моделей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Спринт без карты моста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Сессия заканчивается мостом и уставом Спринта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начинать Сессию с инструментов.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превращать Сессию в большую стратегическую дискуссию без выхода.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отдавать в Спринт элементы без кода, функции, владельца и причины выбора.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Схема показывает, что Сессия принимает диагноз и производит управляемый Sprint-ready набор.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10. Спринт 30-60-90: контроль внедрения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как выбранный мост проверяется в действии через три контрольные точки и итоговый вердикт.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Спринт 30-60-90: контроль внедрения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как выбранный мост проверяется в действии через три контрольные точки и итоговый вердикт.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консультантский слой; клиентский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case поток / flow внедрения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Спринт проверяет выбранный контур в действии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30 дней - запуск, 60 дней - стабилизация, 90 дней - вердикт по дальнейшему движению.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Старт: устав Спринта, владельцы, базовая линия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30 дней: запуск 3-5 инструментов и первый контроль данных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60 дней: стабилизация ритма, решений и метрик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90 дней: итоговый вердикт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Вердикты: масштабировать; продолжить; пересобрать; остановить; передать клиенту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Журнал решений: что принято, кем, на основании каких данных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три контрольные точки = 30/60/90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бирюза = устойчивость и данные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медь = движение Спринта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красный = откат, отсутствие владельца или данных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общий список инициатив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проектный офис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обещание результата без базовой линии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Спринт проверяет не идею, а управляемый контур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расширять Спринт до всех найденных проблем.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базовую линию, журнал решений и итоговый вердикт.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показывать Спринт как внедрение консультантом вместо владельцев клиента.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 схеме понятно, что Спринт - это проверка выбранной связки в управленческом ритме 30-60-90.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11. Кейсовая схема: от управленческой боли к рабочему пространству решений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Показать, как кейсы используются для узнавания боли и продажи Диагностики, а не для обещания одинакового результата.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Кейсовая схема: от управленческой боли к рабочему пространству решений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Показать, как кейсы используются для узнавания боли и продажи Диагностики, а не для обещания одинакового результата.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кейсовый слой; коммерческий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кейсовый поток / case flow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средняя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Кейс помогает узнать проблему и перейти к Диагностике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Кейс не копируется в клиента; он помогает задать правильный вопрос и проверить применимость технологии.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Боль клиента: узнаваемая ситуация из бизнеса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Вопрос: похоже ли это на вашу ситуацию?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Диагностика: проверка фактов, контура и проблемной единицы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Сессия: выбор рабочего набора и моста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Спринт: проверка 3-5 инструментов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Сопровождение: удержание работающего контура или выход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Итог: клиент получает не копию кейса, а свое рабочее пространство решений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красная зона = боль до технологии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медная стрелка = переход к проверке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синяя зона = технологический маршрут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бирюза = подтвержденный результат или устойчивость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обещание повторить чужой результат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продажа готового решения до Диагностики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кейс ради красивой истории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кейс продает проверку, а не готовый рецепт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Навигатор кейсов и продаж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папка 50 Кейсы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превращать кейсы в гарантию результата.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раскрывать длинный список моделей и инструментов в кейсовой схеме.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пропускать Диагностику после узнавания боли.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Схема помогает продавцу перевести узнавание боли в платную Диагностику без бесплатной мини-Сессии.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12. Антипозиционирование: чем проSTRAнство не является</w:t>
      </w:r>
    </w:p>
    <w:p>
      <w:pPr>
        <w:spacing w:before="0" w:after="14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Защитить технологию от четырех неправильных категорий: стратегическая сессия, каталог моделей, аудит ради отчета, проектный офис.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Название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Антипозиционирование: чем проSTRAнство не является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Цель визуализации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Защитить технологию от четырех неправильных категорий: стратегическая сессия, каталог моделей, аудит ради отчета, проектный офис.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Аудитория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клиентский слой; коммерческий слой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Тип визуала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матрица / matrix отстройки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Уровень сложности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простая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 не заменяет привычные форматы - оно решает другую задачу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Точный подзаголовок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Технология выбирает нужные фреймворки под доказанную проблему и связывает их с операционным исполнением.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Все текстовые блоки внутри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стратегическая сессия: потому что начинается с Диагностики и фактов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каталог моделей: потому что клиент получает узкий рабочий набор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аудит ради отчета: потому что выход должен вести к решению о следующем шаге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проектный офис: потому что владельцы остаются у клиента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Что такое проSTRAнство: экспертный выбор + мост в исполнение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Легенда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красный маркер = неверная категория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медный переход = отстройка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темно-синяя панель = правильная формула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бирюзовая метка = управляемость, данные, владельцы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Блок ЭТО НЕ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унижать другие форматы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спорить с рынком абстрактно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обещать универсальную замену всему консалтингу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Нижняя авторская подпись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C-Level Insight | проSTRAнство | экспертный выбор + мост в исполнение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Источники правды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Письмо команде проSTRAнство: контентный контракт визуализаций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Единый визуальный стандарт C-Level Insight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Уроки CLM-пилота и стандарт постановки визуализаций v2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Финальное ТЗ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Операционная система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Языковой стандарт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Коммерческий пакет проSTRAнства v1.0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Вопросы и ответы по аудиториям v1.0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Что нельзя искажать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писать агрессивную отстройку от конкурентов.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делать технологию универсальной таблеткой.</w:t>
            </w:r>
          </w:p>
          <w:p>
            <w:pPr>
              <w:pStyle w:val="ListBullet"/>
              <w:spacing w:before="0" w:after="4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Не убирать платную Диагностику из формулы отличия.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3E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Критерий приемки схемы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7313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CEO за 3 минуты понимает, какую категорию покупать нельзя и какую задачу решает проSTRAнство.</w:t>
            </w:r>
          </w:p>
        </w:tc>
      </w:tr>
    </w:tbl>
    <w:p>
      <w:pPr>
        <w:spacing w:before="0" w:after="40" w:line="259" w:lineRule="auto"/>
      </w:pP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Самопроверка / Self-QA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0B1F33"/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Проверка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0B1F33"/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Нет заглушек / placeholder?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Ядро технологии не искажено?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проSTRAнство не превращено в каталог моделей?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Показан мост от стратегии к операционным инструментам?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Диагностика показана как обязательный платный вход?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Каждая схема готова к передаче в Claude Design без смыслового дописывания?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  <w:tr>
        <w:tc>
          <w:tcPr>
            <w:tcW w:type="dxa" w:w="7257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B1F33"/>
                <w:sz w:val="19"/>
              </w:rPr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Индивидуальные имена файлов для всех визуализаций заданы?</w:t>
            </w:r>
          </w:p>
        </w:tc>
        <w:tc>
          <w:tcPr>
            <w:tcW w:type="dxa" w:w="2381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8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да</w:t>
            </w:r>
          </w:p>
        </w:tc>
      </w:tr>
    </w:tbl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Финальный запрет перед передачей дизайнеру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Нельзя передавать в дизайн схему, если хотя бы один текстовый блок требует будущего копирайтинга.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Нельзя добавлять визуальные метафоры, людей, роботов, медицинские образы, стоковые изображения / stock или декоративные стрелки.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Нельзя менять порядок маршрута: проблема → триггеры → фреймворки → мост → инструменты → владельцы → метрики → Спринт.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Нельзя показывать внутреннюю библиотеку как клиентское меню.</w:t>
      </w:r>
    </w:p>
    <w:p>
      <w:pPr>
        <w:spacing w:before="320" w:after="160" w:line="259" w:lineRule="auto"/>
      </w:pPr>
      <w:r>
        <w:rPr>
          <w:rFonts w:ascii="Calibri" w:hAnsi="Calibri"/>
          <w:b/>
          <w:i w:val="0"/>
          <w:color w:val="0B1F33"/>
          <w:sz w:val="32"/>
        </w:rPr>
        <w:t>Production-передача в Claude Design</w:t>
      </w:r>
    </w:p>
    <w:p>
      <w:pPr>
        <w:spacing w:before="0" w:after="16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Этот раздел фиксирует формат сдачи и индивидуальные имена файлов после приемки контентного контракта.</w:t>
      </w:r>
    </w:p>
    <w:p>
      <w:pPr>
        <w:spacing w:before="240" w:after="120" w:line="259" w:lineRule="auto"/>
      </w:pPr>
      <w:r>
        <w:rPr>
          <w:rFonts w:ascii="Calibri" w:hAnsi="Calibri"/>
          <w:b/>
          <w:i w:val="0"/>
          <w:color w:val="0B1F33"/>
          <w:sz w:val="26"/>
        </w:rPr>
        <w:t>1. Требования к сдаче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Primary master: slide 16:9.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Editable PPTX: редактируемый PPTX с редактируемыми объектами и фирменными шрифтами.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Pixel-reference PPTX: screenshot-эталон для проверки внешнего вида.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PNG: предпочтительно 3840 x 2160; допустим другой крупный чистый 16:9 без черных полей и обрезки.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PDF или SVG.</w:t>
      </w:r>
    </w:p>
    <w:p>
      <w:pPr>
        <w:pStyle w:val="ListBullet"/>
        <w:spacing w:before="0" w:after="80" w:line="259" w:lineRule="auto"/>
      </w:pPr>
      <w:r>
        <w:rPr>
          <w:rFonts w:ascii="Calibri" w:hAnsi="Calibri"/>
          <w:b w:val="0"/>
          <w:i w:val="0"/>
          <w:color w:val="111827"/>
          <w:sz w:val="21"/>
        </w:rPr>
        <w:t>Краткое описание и Self-QA.</w:t>
      </w:r>
    </w:p>
    <w:p>
      <w:pPr>
        <w:spacing w:before="240" w:after="120" w:line="259" w:lineRule="auto"/>
      </w:pPr>
      <w:r>
        <w:rPr>
          <w:rFonts w:ascii="Calibri" w:hAnsi="Calibri"/>
          <w:b/>
          <w:i w:val="0"/>
          <w:color w:val="0B1F33"/>
          <w:sz w:val="26"/>
        </w:rPr>
        <w:t>2. Индивидуальная карта имен файлов</w:t>
      </w:r>
    </w:p>
    <w:tbl>
      <w:tblPr>
        <w:tblW w:type="dxa" w:w="9638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0B1F33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0B1F33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Имя файла без расширения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01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проSTRAнство*Визуализация01Ядро*От*Проблемы*К_Исполнению_V1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02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проSTRAнство*Визуализация02Не*Каталог_Моделей_V1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03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проSTRAнство*Визуализация03Диагностика*Управленческой_Задачи_V1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04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проSTRAнство*Визуализация04Экспертная*Система_Триггеров_V1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05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проSTRAнство*Визуализация05Отбор*Стратегических_Фреймворков_V1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06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проSTRAнство*Визуализация06Мост*К*Операционным*Инструментам_V1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07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проSTRAнство*Визуализация07Операционные*Инструменты*И*Измерители_V1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08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проSTRAнство*Визуализация08Клиентский*Путь*4*Продуктов_V1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09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проSTRAнство*Визуализация09Сессия*Сбор*Решения*И_Контура_V1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10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проSTRAнство*Визуализация10Спринт30_60_90Контроль*Внедрения_V1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11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проSTRAнство*Визуализация11Кейсовая*Схема_V1</w:t>
            </w:r>
          </w:p>
        </w:tc>
      </w:tr>
      <w:tr>
        <w:tc>
          <w:tcPr>
            <w:tcW w:type="dxa" w:w="113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EBDD"/>
          </w:tcPr>
          <w:p>
            <w:pPr>
              <w:spacing w:before="0" w:after="8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1F33"/>
                <w:sz w:val="19"/>
              </w:rPr>
              <w:t>12</w:t>
            </w:r>
          </w:p>
        </w:tc>
        <w:tc>
          <w:tcPr>
            <w:tcW w:type="dxa" w:w="8504"/>
            <w:vAlign w:val="top"/>
            <w:tcBorders>
              <w:top w:val="single" w:sz="4" w:space="0" w:color="D8CDBE"/>
              <w:left w:val="single" w:sz="4" w:space="0" w:color="D8CDBE"/>
              <w:bottom w:val="single" w:sz="4" w:space="0" w:color="D8CDBE"/>
              <w:right w:val="single" w:sz="4" w:space="0" w:color="D8CD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проSTRAнство_Визуализация*12*Антипозиционирование_V1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Calibri" w:hAnsi="Calibri"/>
        <w:b w:val="0"/>
        <w:i w:val="0"/>
        <w:color w:val="475569"/>
        <w:sz w:val="17"/>
      </w:rPr>
      <w:t>Нижняя подпись на схемах: C-Level Insight | проSTRAнство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</w:pPr>
    <w:r>
      <w:rPr>
        <w:rFonts w:ascii="Calibri" w:hAnsi="Calibri"/>
        <w:b w:val="0"/>
        <w:i w:val="0"/>
        <w:color w:val="475569"/>
        <w:sz w:val="17"/>
      </w:rPr>
      <w:t>C-Level Insight | проSTRAнство | контентный контракт визуализаций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