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243447"/>
          <w:sz w:val="36"/>
        </w:rPr>
        <w:t>УМ / Управленческая математика</w:t>
      </w:r>
    </w:p>
    <w:p>
      <w:r>
        <w:rPr>
          <w:rFonts w:ascii="Arial" w:hAnsi="Arial"/>
          <w:b/>
          <w:color w:val="B8733F"/>
          <w:sz w:val="29"/>
        </w:rPr>
        <w:t>Акт контроля качества релизной доработки</w:t>
      </w:r>
    </w:p>
    <w:p>
      <w:r>
        <w:rPr>
          <w:rFonts w:ascii="Arial" w:hAnsi="Arial"/>
          <w:b/>
          <w:color w:val="4B8F8C"/>
          <w:sz w:val="19"/>
        </w:rPr>
        <w:t>Версия v1.0. Контроль P1A, P1B, P1C, P2 и P3 против финального ТЗ. Публичная рамка: Управленческая Точность.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76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6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Назначение</w:t>
            </w:r>
          </w:p>
        </w:tc>
        <w:tc>
          <w:tcPr>
            <w:tcW w:type="dxa" w:w="67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Зафиксировать, что релизная доработка активного комплекта УМ выполнена без переписывания ядра и с соблюдением стоп-линий финального ТЗ.</w:t>
            </w:r>
          </w:p>
        </w:tc>
      </w:tr>
      <w:tr>
        <w:tc>
          <w:tcPr>
            <w:tcW w:type="dxa" w:w="26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Основание</w:t>
            </w:r>
          </w:p>
        </w:tc>
        <w:tc>
          <w:tcPr>
            <w:tcW w:type="dxa" w:w="67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Финальное ТЗ v1.0, реестр релиза, P1A, P1B, P1C, P2, P3, матрица доказательности и стандарт приемки решаторов.</w:t>
            </w:r>
          </w:p>
        </w:tc>
      </w:tr>
      <w:tr>
        <w:tc>
          <w:tcPr>
            <w:tcW w:type="dxa" w:w="26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Объект проверки</w:t>
            </w:r>
          </w:p>
        </w:tc>
        <w:tc>
          <w:tcPr>
            <w:tcW w:type="dxa" w:w="67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Активная папка 30 Документация и релизные артефакты P1A-P3.</w:t>
            </w:r>
          </w:p>
        </w:tc>
      </w:tr>
      <w:tr>
        <w:tc>
          <w:tcPr>
            <w:tcW w:type="dxa" w:w="26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Не является</w:t>
            </w:r>
          </w:p>
        </w:tc>
        <w:tc>
          <w:tcPr>
            <w:tcW w:type="dxa" w:w="67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Не является новой концепцией УМ, финансовой гарантией, юридической или налоговой экспертизой.</w:t>
            </w:r>
          </w:p>
        </w:tc>
      </w:tr>
      <w:tr>
        <w:tc>
          <w:tcPr>
            <w:tcW w:type="dxa" w:w="26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Дата акта</w:t>
            </w:r>
          </w:p>
        </w:tc>
        <w:tc>
          <w:tcPr>
            <w:tcW w:type="dxa" w:w="67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28.07.2026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color w:val="243447"/>
          <w:sz w:val="33"/>
        </w:rPr>
        <w:t>1. Итоговый вердикт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left w:w="90" w:type="dxa"/>
              <w:bottom w:w="90" w:type="dxa"/>
              <w:right w:w="90" w:type="dxa"/>
            </w:tcMar>
            <w:shd w:fill="DDEFE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43447"/>
                <w:sz w:val="19"/>
              </w:rPr>
              <w:t>Вердикт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F2937"/>
                <w:sz w:val="18"/>
              </w:rPr>
              <w:t>Go на использование релизной доработки как управляемого активного комплекта после авторского Go. Not Go на переписывание ядра, добавление четвертого статуса, возврат старой линейки Game / Lite как публичных продуктов и продажу решаторов как главного самостоятельного продукта.</w:t>
            </w:r>
          </w:p>
        </w:tc>
      </w:tr>
    </w:tbl>
    <w:p>
      <w:pPr>
        <w:spacing w:after="80" w:line="259" w:lineRule="auto"/>
      </w:pPr>
      <w:r>
        <w:rPr>
          <w:rFonts w:ascii="Arial" w:hAnsi="Arial"/>
          <w:color w:val="1F2937"/>
          <w:sz w:val="18"/>
        </w:rPr>
        <w:t>Ядро УМ сохранено: сырой запрос -&gt; данные -&gt; расчет -&gt; сценарии -&gt; условия -&gt; статус -&gt; управленческий ответ -&gt; контроль. Публичная смысловая рамка сохранена как Управленческая Точность.</w:t>
      </w:r>
    </w:p>
    <w:p>
      <w:pPr>
        <w:spacing w:before="240" w:after="100"/>
      </w:pPr>
      <w:r>
        <w:rPr>
          <w:rFonts w:ascii="Arial" w:hAnsi="Arial"/>
          <w:b/>
          <w:color w:val="243447"/>
          <w:sz w:val="33"/>
        </w:rPr>
        <w:t>2. Проверка очередей релиза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2500"/>
        <w:gridCol w:w="2450"/>
        <w:gridCol w:w="2450"/>
        <w:gridCol w:w="860"/>
      </w:tblGrid>
      <w:tr>
        <w:tc>
          <w:tcPr>
            <w:tcW w:type="dxa" w:w="11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Очередь</w:t>
            </w:r>
          </w:p>
        </w:tc>
        <w:tc>
          <w:tcPr>
            <w:tcW w:type="dxa" w:w="25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Что требовало ТЗ</w:t>
            </w:r>
          </w:p>
        </w:tc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Выпущенные артефакты</w:t>
            </w:r>
          </w:p>
        </w:tc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86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Вердикт</w:t>
            </w:r>
          </w:p>
        </w:tc>
      </w:tr>
      <w:tr>
        <w:tc>
          <w:tcPr>
            <w:tcW w:type="dxa" w:w="11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P1A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Реестр релиза, SSOT / единый источник правды, карта слоев, языковой стандарт, журнал изменений.</w:t>
            </w:r>
          </w:p>
        </w:tc>
        <w:tc>
          <w:tcPr>
            <w:tcW w:type="dxa" w:w="24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Реестр релиза v1.0; журнал изменений; каталог 30 Документация.</w:t>
            </w:r>
          </w:p>
        </w:tc>
        <w:tc>
          <w:tcPr>
            <w:tcW w:type="dxa" w:w="24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Управление активным комплектом собрано. Слои, источники правды и языковые правила зафиксированы.</w:t>
            </w:r>
          </w:p>
        </w:tc>
        <w:tc>
          <w:tcPr>
            <w:tcW w:type="dxa" w:w="8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Принято</w:t>
            </w:r>
          </w:p>
        </w:tc>
      </w:tr>
      <w:tr>
        <w:tc>
          <w:tcPr>
            <w:tcW w:type="dxa" w:w="11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P1B</w:t>
            </w:r>
          </w:p>
        </w:tc>
        <w:tc>
          <w:tcPr>
            <w:tcW w:type="dxa" w:w="25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Проводимость 4 продуктов: Диагностика, Сессия, Спринт, Сопровождение; контрольные точки; артефакты.</w:t>
            </w:r>
          </w:p>
        </w:tc>
        <w:tc>
          <w:tcPr>
            <w:tcW w:type="dxa" w:w="245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P1B — Проводимость 4 продуктов v1.0.</w:t>
            </w:r>
          </w:p>
        </w:tc>
        <w:tc>
          <w:tcPr>
            <w:tcW w:type="dxa" w:w="245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Продукты описаны как проводимые форматы, платная Диагностика закреплена как вход, переходы не автоматические.</w:t>
            </w:r>
          </w:p>
        </w:tc>
        <w:tc>
          <w:tcPr>
            <w:tcW w:type="dxa" w:w="8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Принято</w:t>
            </w:r>
          </w:p>
        </w:tc>
      </w:tr>
      <w:tr>
        <w:tc>
          <w:tcPr>
            <w:tcW w:type="dxa" w:w="11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P1C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Доказательность, решаторы, коммерческая понятность, навигатор кейсов, первый клиентский слой.</w:t>
            </w:r>
          </w:p>
        </w:tc>
        <w:tc>
          <w:tcPr>
            <w:tcW w:type="dxa" w:w="24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P1C v1.0; Матрица доказательности v1.0; Стандарт приемки решаторов v1.0.</w:t>
            </w:r>
          </w:p>
        </w:tc>
        <w:tc>
          <w:tcPr>
            <w:tcW w:type="dxa" w:w="24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Публичные утверждения, кейсы, решаторы и цены получили рамку доказательности и ограничения.</w:t>
            </w:r>
          </w:p>
        </w:tc>
        <w:tc>
          <w:tcPr>
            <w:tcW w:type="dxa" w:w="8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Принято</w:t>
            </w:r>
          </w:p>
        </w:tc>
      </w:tr>
      <w:tr>
        <w:tc>
          <w:tcPr>
            <w:tcW w:type="dxa" w:w="11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P2</w:t>
            </w:r>
          </w:p>
        </w:tc>
        <w:tc>
          <w:tcPr>
            <w:tcW w:type="dxa" w:w="25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Визуальная схема “Цена Да” и допуск проводника.</w:t>
            </w:r>
          </w:p>
        </w:tc>
        <w:tc>
          <w:tcPr>
            <w:tcW w:type="dxa" w:w="245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P2 — визуальная схема “Цена Да” и допуск проводника v1.0.</w:t>
            </w:r>
          </w:p>
        </w:tc>
        <w:tc>
          <w:tcPr>
            <w:tcW w:type="dxa" w:w="245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Зафиксировано, как показывать технологию визуально и кто может проводить УМ без устного восстановления автором.</w:t>
            </w:r>
          </w:p>
        </w:tc>
        <w:tc>
          <w:tcPr>
            <w:tcW w:type="dxa" w:w="8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Принято</w:t>
            </w:r>
          </w:p>
        </w:tc>
      </w:tr>
      <w:tr>
        <w:tc>
          <w:tcPr>
            <w:tcW w:type="dxa" w:w="11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P3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Коммерческий пакет после P1: сайт, КП / коммерческое предложение, презентация.</w:t>
            </w:r>
          </w:p>
        </w:tc>
        <w:tc>
          <w:tcPr>
            <w:tcW w:type="dxa" w:w="24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P3 — коммерческий пакет v1.0.</w:t>
            </w:r>
          </w:p>
        </w:tc>
        <w:tc>
          <w:tcPr>
            <w:tcW w:type="dxa" w:w="245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Внешний слой синхронизирован с ядром, запретом бесплатного расчета и защитой от образа Excel-продукта.</w:t>
            </w:r>
          </w:p>
        </w:tc>
        <w:tc>
          <w:tcPr>
            <w:tcW w:type="dxa" w:w="8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Принято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color w:val="243447"/>
          <w:sz w:val="33"/>
        </w:rPr>
        <w:t>3. Контроль стоп-линий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5200"/>
        <w:gridCol w:w="1660"/>
      </w:tblGrid>
      <w:tr>
        <w:tc>
          <w:tcPr>
            <w:tcW w:type="dxa" w:w="25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Стоп-линия</w:t>
            </w:r>
          </w:p>
        </w:tc>
        <w:tc>
          <w:tcPr>
            <w:tcW w:type="dxa" w:w="52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166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2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Ядро не переписывать</w:t>
            </w:r>
          </w:p>
        </w:tc>
        <w:tc>
          <w:tcPr>
            <w:tcW w:type="dxa" w:w="5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Цепочка УМ сохранена как сырой запрос -&gt; данные -&gt; расчет -&gt; сценарии -&gt; условия -&gt; статус -&gt; управленческий ответ -&gt; контроль.</w:t>
            </w:r>
          </w:p>
        </w:tc>
        <w:tc>
          <w:tcPr>
            <w:tcW w:type="dxa" w:w="16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Соблюдено</w:t>
            </w:r>
          </w:p>
        </w:tc>
      </w:tr>
      <w:tr>
        <w:tc>
          <w:tcPr>
            <w:tcW w:type="dxa" w:w="25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Не добавлять четвертый статус</w:t>
            </w:r>
          </w:p>
        </w:tc>
        <w:tc>
          <w:tcPr>
            <w:tcW w:type="dxa" w:w="5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В релизной рамке закреплены три статуса: можно; можно при условиях; нельзя в текущей модели.</w:t>
            </w:r>
          </w:p>
        </w:tc>
        <w:tc>
          <w:tcPr>
            <w:tcW w:type="dxa" w:w="16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Соблюдено</w:t>
            </w:r>
          </w:p>
        </w:tc>
      </w:tr>
      <w:tr>
        <w:tc>
          <w:tcPr>
            <w:tcW w:type="dxa" w:w="2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Старая линейка не активна публично</w:t>
            </w:r>
          </w:p>
        </w:tc>
        <w:tc>
          <w:tcPr>
            <w:tcW w:type="dxa" w:w="5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Публичная продуктовая архитектура: Диагностика -&gt; Сессия -&gt; Спринт -&gt; Сопровождение.</w:t>
            </w:r>
          </w:p>
        </w:tc>
        <w:tc>
          <w:tcPr>
            <w:tcW w:type="dxa" w:w="16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Соблюдено</w:t>
            </w:r>
          </w:p>
        </w:tc>
      </w:tr>
      <w:tr>
        <w:tc>
          <w:tcPr>
            <w:tcW w:type="dxa" w:w="25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Решаторы не главный продукт</w:t>
            </w:r>
          </w:p>
        </w:tc>
        <w:tc>
          <w:tcPr>
            <w:tcW w:type="dxa" w:w="5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Решаторы описаны как инструменты внутри технологии, а не как самостоятельный основной товар.</w:t>
            </w:r>
          </w:p>
        </w:tc>
        <w:tc>
          <w:tcPr>
            <w:tcW w:type="dxa" w:w="16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Соблюдено</w:t>
            </w:r>
          </w:p>
        </w:tc>
      </w:tr>
      <w:tr>
        <w:tc>
          <w:tcPr>
            <w:tcW w:type="dxa" w:w="2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Не обещать прибыль без данных</w:t>
            </w:r>
          </w:p>
        </w:tc>
        <w:tc>
          <w:tcPr>
            <w:tcW w:type="dxa" w:w="5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Матрица доказательности и P3 запрещают гарантию эффекта без диагностики и данных.</w:t>
            </w:r>
          </w:p>
        </w:tc>
        <w:tc>
          <w:tcPr>
            <w:tcW w:type="dxa" w:w="16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Соблюдено</w:t>
            </w:r>
          </w:p>
        </w:tc>
      </w:tr>
      <w:tr>
        <w:tc>
          <w:tcPr>
            <w:tcW w:type="dxa" w:w="25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Не считать бесплатно на первом контакте</w:t>
            </w:r>
          </w:p>
        </w:tc>
        <w:tc>
          <w:tcPr>
            <w:tcW w:type="dxa" w:w="52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Диагностика закреплена как платный вход; сайт и первый разговор не присваивают статус решения.</w:t>
            </w:r>
          </w:p>
        </w:tc>
        <w:tc>
          <w:tcPr>
            <w:tcW w:type="dxa" w:w="16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Соблюдено</w:t>
            </w:r>
          </w:p>
        </w:tc>
      </w:tr>
      <w:tr>
        <w:tc>
          <w:tcPr>
            <w:tcW w:type="dxa" w:w="25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Русский клиентский слой</w:t>
            </w:r>
          </w:p>
        </w:tc>
        <w:tc>
          <w:tcPr>
            <w:tcW w:type="dxa" w:w="52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Английские термины используются с русским пояснением: SSOT / единый источник правды, FAQ / вопросы и ответы, SEO / поисковая видимость.</w:t>
            </w:r>
          </w:p>
        </w:tc>
        <w:tc>
          <w:tcPr>
            <w:tcW w:type="dxa" w:w="16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Соблюдено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color w:val="243447"/>
          <w:sz w:val="33"/>
        </w:rPr>
        <w:t>4. Активные релизные артефакты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800"/>
        <w:gridCol w:w="4300"/>
        <w:gridCol w:w="1260"/>
      </w:tblGrid>
      <w:tr>
        <w:tc>
          <w:tcPr>
            <w:tcW w:type="dxa" w:w="38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Артефакт</w:t>
            </w:r>
          </w:p>
        </w:tc>
        <w:tc>
          <w:tcPr>
            <w:tcW w:type="dxa" w:w="43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Роль в комплекте</w:t>
            </w:r>
          </w:p>
        </w:tc>
        <w:tc>
          <w:tcPr>
            <w:tcW w:type="dxa" w:w="126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</w:tr>
      <w:tr>
        <w:tc>
          <w:tcPr>
            <w:tcW w:type="dxa" w:w="38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Управленческая_Математика_УМ_Реестр_Релиза_v1_0.xlsx</w:t>
            </w:r>
          </w:p>
        </w:tc>
        <w:tc>
          <w:tcPr>
            <w:tcW w:type="dxa" w:w="43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Навигация, SSOT / единый источник правды, карта слоев, языковой стандарт и журнал релиза.</w:t>
            </w:r>
          </w:p>
        </w:tc>
        <w:tc>
          <w:tcPr>
            <w:tcW w:type="dxa" w:w="12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Активный</w:t>
            </w:r>
          </w:p>
        </w:tc>
      </w:tr>
      <w:tr>
        <w:tc>
          <w:tcPr>
            <w:tcW w:type="dxa" w:w="38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Управленческая_Математика_УМ_P1B_Проводимость_4_Продуктов_v1_0.docx</w:t>
            </w:r>
          </w:p>
        </w:tc>
        <w:tc>
          <w:tcPr>
            <w:tcW w:type="dxa" w:w="43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Проводимость Диагностики, Сессии, Спринта и Сопровождения.</w:t>
            </w:r>
          </w:p>
        </w:tc>
        <w:tc>
          <w:tcPr>
            <w:tcW w:type="dxa" w:w="12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Активный</w:t>
            </w:r>
          </w:p>
        </w:tc>
      </w:tr>
      <w:tr>
        <w:tc>
          <w:tcPr>
            <w:tcW w:type="dxa" w:w="38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Управленческая_Математика_УМ_P1C_Доказательность_Решаторы_Коммерческая_Понятность_v1_0.docx</w:t>
            </w:r>
          </w:p>
        </w:tc>
        <w:tc>
          <w:tcPr>
            <w:tcW w:type="dxa" w:w="43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Доказательность, первый клиентский слой, навигатор кейсов и правила решаторов.</w:t>
            </w:r>
          </w:p>
        </w:tc>
        <w:tc>
          <w:tcPr>
            <w:tcW w:type="dxa" w:w="12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Активный</w:t>
            </w:r>
          </w:p>
        </w:tc>
      </w:tr>
      <w:tr>
        <w:tc>
          <w:tcPr>
            <w:tcW w:type="dxa" w:w="38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Управленческая_Математика_УМ_Матрица_Доказательности_v1_0.xlsx</w:t>
            </w:r>
          </w:p>
        </w:tc>
        <w:tc>
          <w:tcPr>
            <w:tcW w:type="dxa" w:w="43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Evidence map / матрица доказательности claims / публичных утверждений, кейсов, решаторов и цен.</w:t>
            </w:r>
          </w:p>
        </w:tc>
        <w:tc>
          <w:tcPr>
            <w:tcW w:type="dxa" w:w="12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Активный</w:t>
            </w:r>
          </w:p>
        </w:tc>
      </w:tr>
      <w:tr>
        <w:tc>
          <w:tcPr>
            <w:tcW w:type="dxa" w:w="38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Управленческая_Математика_УМ_Стандарт_Приемки_Решаторов_v1_0.xlsx</w:t>
            </w:r>
          </w:p>
        </w:tc>
        <w:tc>
          <w:tcPr>
            <w:tcW w:type="dxa" w:w="43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Контроль качества 18 решаторов.</w:t>
            </w:r>
          </w:p>
        </w:tc>
        <w:tc>
          <w:tcPr>
            <w:tcW w:type="dxa" w:w="12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Активный</w:t>
            </w:r>
          </w:p>
        </w:tc>
      </w:tr>
      <w:tr>
        <w:tc>
          <w:tcPr>
            <w:tcW w:type="dxa" w:w="38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Управленческая_Математика_УМ_P2_Визуальная_Схема_Цена_Да_и_Допуск_Проводника_v1_0.docx</w:t>
            </w:r>
          </w:p>
        </w:tc>
        <w:tc>
          <w:tcPr>
            <w:tcW w:type="dxa" w:w="43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Визуальная схема и критерии допуска проводника.</w:t>
            </w:r>
          </w:p>
        </w:tc>
        <w:tc>
          <w:tcPr>
            <w:tcW w:type="dxa" w:w="12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Активный</w:t>
            </w:r>
          </w:p>
        </w:tc>
      </w:tr>
      <w:tr>
        <w:tc>
          <w:tcPr>
            <w:tcW w:type="dxa" w:w="38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Управленческая_Математика_УМ_P3_Коммерческий_Пакет_Сайт_КП_Презентация_v1_0.docx</w:t>
            </w:r>
          </w:p>
        </w:tc>
        <w:tc>
          <w:tcPr>
            <w:tcW w:type="dxa" w:w="43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Коммерческий внешний слой: сайт, КП / коммерческое предложение, презентация, лид-магниты.</w:t>
            </w:r>
          </w:p>
        </w:tc>
        <w:tc>
          <w:tcPr>
            <w:tcW w:type="dxa" w:w="12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Активный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color w:val="243447"/>
          <w:sz w:val="33"/>
        </w:rPr>
        <w:t>5. Что не закрывает этот акт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3900"/>
        <w:gridCol w:w="3160"/>
      </w:tblGrid>
      <w:tr>
        <w:tc>
          <w:tcPr>
            <w:tcW w:type="dxa" w:w="23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39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Почему не закрывается актом</w:t>
            </w:r>
          </w:p>
        </w:tc>
        <w:tc>
          <w:tcPr>
            <w:tcW w:type="dxa" w:w="316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Что делать отдельно</w:t>
            </w:r>
          </w:p>
        </w:tc>
      </w:tr>
      <w:tr>
        <w:tc>
          <w:tcPr>
            <w:tcW w:type="dxa" w:w="23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Финальный сайт</w:t>
            </w:r>
          </w:p>
        </w:tc>
        <w:tc>
          <w:tcPr>
            <w:tcW w:type="dxa" w:w="3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P3 фиксирует правила и сценарий, но не является готовым сайтом.</w:t>
            </w:r>
          </w:p>
        </w:tc>
        <w:tc>
          <w:tcPr>
            <w:tcW w:type="dxa" w:w="31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Собирать сайт по утвержденному дизайну и контенту, затем проверять отдельно.</w:t>
            </w:r>
          </w:p>
        </w:tc>
      </w:tr>
      <w:tr>
        <w:tc>
          <w:tcPr>
            <w:tcW w:type="dxa" w:w="23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Коммерческая презентация</w:t>
            </w:r>
          </w:p>
        </w:tc>
        <w:tc>
          <w:tcPr>
            <w:tcW w:type="dxa" w:w="3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P3 фиксирует структуру, но не заменяет готовую презентацию.</w:t>
            </w:r>
          </w:p>
        </w:tc>
        <w:tc>
          <w:tcPr>
            <w:tcW w:type="dxa" w:w="31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Собирать презентацию после авторского Go на визуальный и коммерческий сценарий.</w:t>
            </w:r>
          </w:p>
        </w:tc>
      </w:tr>
      <w:tr>
        <w:tc>
          <w:tcPr>
            <w:tcW w:type="dxa" w:w="23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Решаторы в реальных компаниях</w:t>
            </w:r>
          </w:p>
        </w:tc>
        <w:tc>
          <w:tcPr>
            <w:tcW w:type="dxa" w:w="39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Стандарт приемки проверяет качество файлов, но не заменяет боевую проверку на данных клиента.</w:t>
            </w:r>
          </w:p>
        </w:tc>
        <w:tc>
          <w:tcPr>
            <w:tcW w:type="dxa" w:w="31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Проверять решаторы на типовых задачах в рамках Сессии или Спринта.</w:t>
            </w:r>
          </w:p>
        </w:tc>
      </w:tr>
      <w:tr>
        <w:tc>
          <w:tcPr>
            <w:tcW w:type="dxa" w:w="23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Юридическая и налоговая экспертиза</w:t>
            </w:r>
          </w:p>
        </w:tc>
        <w:tc>
          <w:tcPr>
            <w:tcW w:type="dxa" w:w="39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УМ учитывает налоговый контур, но не является юридическим или налоговым заключением.</w:t>
            </w:r>
          </w:p>
        </w:tc>
        <w:tc>
          <w:tcPr>
            <w:tcW w:type="dxa" w:w="31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При необходимости подключать профильного эксперта.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color w:val="243447"/>
          <w:sz w:val="33"/>
        </w:rPr>
        <w:t>6. Правила дальнейших изменений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600"/>
        <w:gridCol w:w="3660"/>
      </w:tblGrid>
      <w:tr>
        <w:tc>
          <w:tcPr>
            <w:tcW w:type="dxa" w:w="21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Тип изменения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Можно без авторского Go</w:t>
            </w:r>
          </w:p>
        </w:tc>
        <w:tc>
          <w:tcPr>
            <w:tcW w:type="dxa" w:w="366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243447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Требует авторского Go</w:t>
            </w:r>
          </w:p>
        </w:tc>
      </w:tr>
      <w:tr>
        <w:tc>
          <w:tcPr>
            <w:tcW w:type="dxa" w:w="21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Редактура языка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Исправление опечаток, русификация англицизмов, уточнение формулировок без изменения смысла.</w:t>
            </w:r>
          </w:p>
        </w:tc>
        <w:tc>
          <w:tcPr>
            <w:tcW w:type="dxa" w:w="36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Изменение ядра, статусов, продуктовой архитектуры или роли решаторов.</w:t>
            </w:r>
          </w:p>
        </w:tc>
      </w:tr>
      <w:tr>
        <w:tc>
          <w:tcPr>
            <w:tcW w:type="dxa" w:w="21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Коммерческий слой</w:t>
            </w:r>
          </w:p>
        </w:tc>
        <w:tc>
          <w:tcPr>
            <w:tcW w:type="dxa" w:w="36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Адаптация КП / коммерческого предложения под клиента в пределах P3.</w:t>
            </w:r>
          </w:p>
        </w:tc>
        <w:tc>
          <w:tcPr>
            <w:tcW w:type="dxa" w:w="36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Новые обещания эффекта, гарантия прибыли, бесплатный расчет или новый продукт.</w:t>
            </w:r>
          </w:p>
        </w:tc>
      </w:tr>
      <w:tr>
        <w:tc>
          <w:tcPr>
            <w:tcW w:type="dxa" w:w="21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Сайт и презентация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Визуальная и текстовая адаптация в рамках “Цена Да”.</w:t>
            </w:r>
          </w:p>
        </w:tc>
        <w:tc>
          <w:tcPr>
            <w:tcW w:type="dxa" w:w="3660"/>
            <w:vAlign w:val="center"/>
            <w:shd w:fill="FFFFFF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Сайт-калькулятор, присвоение статуса решения через форму, продажа решаторов как основного продукта.</w:t>
            </w:r>
          </w:p>
        </w:tc>
      </w:tr>
      <w:tr>
        <w:tc>
          <w:tcPr>
            <w:tcW w:type="dxa" w:w="21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Решаторы</w:t>
            </w:r>
          </w:p>
        </w:tc>
        <w:tc>
          <w:tcPr>
            <w:tcW w:type="dxa" w:w="360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Техническое исправление формул, форматирования и проверок.</w:t>
            </w:r>
          </w:p>
        </w:tc>
        <w:tc>
          <w:tcPr>
            <w:tcW w:type="dxa" w:w="3660"/>
            <w:vAlign w:val="center"/>
            <w:shd w:fill="F4F7F8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</w:tcPr>
          <w:p>
            <w:pPr>
              <w:spacing w:after="28" w:line="252" w:lineRule="auto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1F2937"/>
                <w:sz w:val="15"/>
              </w:rPr>
              <w:t>Изменение методологии решатора или передача как универсального решения без диагностики.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color w:val="243447"/>
          <w:sz w:val="33"/>
        </w:rPr>
        <w:t>7. Финальное решение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left w:w="90" w:type="dxa"/>
              <w:bottom w:w="90" w:type="dxa"/>
              <w:right w:w="90" w:type="dxa"/>
            </w:tcMar>
            <w:shd w:fill="DDEFE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243447"/>
                <w:sz w:val="19"/>
              </w:rPr>
              <w:t>Решение по акту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1F2937"/>
                <w:sz w:val="18"/>
              </w:rPr>
              <w:t>Релизная доработка P1A-P3 принимается как управляемый активный комплект УМ. Дальше можно переходить к внешним материалам: сайт, презентация, КП / коммерческие предложения и клиентские сценарии — только в границах этого акта и финального ТЗ.</w:t>
            </w:r>
          </w:p>
        </w:tc>
      </w:tr>
    </w:tbl>
    <w:p>
      <w:pPr>
        <w:spacing w:after="80" w:line="259" w:lineRule="auto"/>
      </w:pPr>
      <w:r>
        <w:rPr>
          <w:rFonts w:ascii="Arial" w:hAnsi="Arial"/>
          <w:color w:val="1F2937"/>
          <w:sz w:val="18"/>
        </w:rPr>
        <w:t>Любые изменения ядра УМ, трех статусов, цепочки применения, продуктовой архитектуры или роли решаторов требуют отдельного авторского Go.</w:t>
      </w:r>
    </w:p>
    <w:sectPr w:rsidR="00FC693F" w:rsidRPr="0006063C" w:rsidSect="00034616">
      <w:pgSz w:w="12240" w:h="15840"/>
      <w:pgMar w:top="1008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