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№4. Реклама обещала рост. УМ спросила: где возврат денег?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Рекламный бюджет и ROMI / возврат маркетинговых инвестиций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Команда маркетинга предлагает увеличить рекламный бюджет на месяц. В плане есть охват, лиды и ожидаемый рост продаж. Но собственник хочет понять не активность, а деньги.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Увеличить рекламный бюджет на 3,0 млн руб. ради дополнительной выручки 12,0 млн руб.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Рост выручки не равен окупаемости рекламы. Если маржинальность низкая или конверсия хуже плана, рекламный бюджет может купить оборот без прибыли.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Дополнительный бюджет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Ожидаемая дополнительная выручка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12,0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Маржинальность по продукту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32%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Дополнительные операционные расходы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0,4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Минимальный ROMI / возврат маркетинговых инвестиций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30%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Дополнительная маржа: 12,0 x 32% = 3,84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Результат после рекламы и дополнительных расходов: 3,84 - 3,0 - 0,4 = 0,44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ROMI / возврат маркетинговых инвестиций: 0,44 / 3,0 = 14,7%.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Минимально допустимый результат для ROMI 30%: 3,0 x 30% = 0,9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Нужная дополнительная маржа: 3,0 + 0,4 + 0,9 = 4,3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Нужная дополнительная выручка: 4,3 / 32% = 13,44 млн руб.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8D7D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Нельзя в текущей модели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Бюджет нельзя запускать в текущей модели. Можно запускать только при прогнозе дополнительной выручки не ниже 13,44 млн руб. или при снижении бюджета до уровня, где ROMI достигает 30%.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Директор по маркетингу отвечает за прогноз и факт выручки; финансовый директор проверяет ROMI; контроль — на 14-й и 30-й день кампании.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предотвратила запуск кампании, которая формально росла по выручке, но не проходила порог возврата маркетинговых инвестиций.</w:t>
      </w:r>
    </w:p>
    <w:p>
      <w:pPr>
        <w:pStyle w:val="Heading2"/>
      </w:pPr>
      <w:r>
        <w:t>Что изменилось в решении</w:t>
      </w:r>
    </w:p>
    <w:p>
      <w:r>
        <w:t>Маркетинг получил не запрет, а точную цель: либо доказать 13,44 млн руб. дополнительной выручки, либо пересобрать бюджет.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