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№11. Прибыль была в P&amp;L. Денег не было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Денежный разрыв по управленческому решению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Компания принимает крупный проект с хорошей прибылью по P&amp;L / отчету о прибылях и убытках. Но проект требует предоплаты поставщикам и дает оплату от клиента позже.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Запустить проект с прибылью 5 млн руб., предоплатой поставщикам и оплатой клиента через 90 дней.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P&amp;L / отчет о прибылях и убытках показывает прибыль, но не отвечает на вопрос, кто финансирует проект до оплаты клиента.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Выручка проекта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40,0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Себестоимость и расходы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35,0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Прибыль по P&amp;L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5,0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Предоплата поставщикам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24,0 млн руб. в начале проекта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Оплата клиента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через 90 дней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Доступный лимит свободных денег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15,0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Стоимость денег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18% годовых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Денежная потребность до оплаты клиента: 24,0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Превышение доступного лимита: 24,0 - 15,0 = 9,0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Стоимость финансирования на 90 дней: 24,0 x 18% x 90 / 365 = 1,07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Чистый результат после стоимости денег: 5,0 - 1,07 = 3,93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Если финансирование недоступно, проект нельзя запускать даже при прибыли по P&amp;L.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Проект можно запускать только при предоплате клиента не менее 9,0 млн руб., кредитном лимите или изменении графика платежей поставщикам. Без закрытия денежного разрыва решение недопустимо.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Финансовый директор отвечает за денежный лимит и график платежей; руководитель проекта — за условия клиента; контроль — до запуска проекта.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сохранила прибыльный проект от кассового провала: показала не только результат, но и потребность в деньгах до результата.</w:t>
      </w:r>
    </w:p>
    <w:p>
      <w:pPr>
        <w:pStyle w:val="Heading2"/>
      </w:pPr>
      <w:r>
        <w:t>Что изменилось в решении</w:t>
      </w:r>
    </w:p>
    <w:p>
      <w:r>
        <w:t>Статус проекта стал зависеть не от прибыли на бумаге, а от способности пройти денежный контур.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