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4369d6973de345e8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100000" w14:textId="00100001">
      <w:pPr>
        <w:spacing w:after="80"/>
      </w:pPr>
      <w:r>
        <w:rPr>
          <w:rFonts w:ascii="Arial" w:hAnsi="Arial" w:eastAsia="Arial"/>
        </w:rPr>
        <w:t>Управление Директорами</w:t>
      </w:r>
    </w:p>
    <w:p w14:paraId="00100002" w14:textId="00100003"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 w14:paraId="00100004" w14:textId="00100005">
      <w:pPr>
        <w:spacing w:after="80"/>
      </w:pPr>
      <w:r>
        <w:rPr>
          <w:rFonts w:ascii="Arial" w:hAnsi="Arial" w:eastAsia="Arial"/>
        </w:rPr>
        <w:t>Управление Директорами. Методология реализации</w:t>
      </w:r>
    </w:p>
    <w:p w14:paraId="00100006" w14:textId="00100007">
      <w:pPr>
        <w:spacing w:after="200"/>
      </w:pPr>
      <w:r>
        <w:rPr>
          <w:rFonts w:ascii="Calibri" w:hAnsi="Calibri" w:eastAsia="Calibri"/>
          <w:b w:val="0"/>
          <w:i w:val="0"/>
          <w:color w:val="475569"/>
          <w:sz w:val="21"/>
        </w:rPr>
        <w:t>Как применять 12 DOCX, XLSX-слой, кейсы, онбординг, weekly review / еженедельный разбор и финальный отчет.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10166"/>
      </w:tblGrid>
      <w:tr>
        <w:tc>
          <w:tcPr>
            <w:tcW w:w="10166" w:type="dxa"/>
            <w:shd w:fill="F3EBDD"/>
            <w:tcMar>
              <w:top w:w="120" w:type="dxa"/>
              <w:start w:w="160" w:type="dxa"/>
              <w:bottom w:w="120" w:type="dxa"/>
              <w:end w:w="160" w:type="dxa"/>
            </w:tcMar>
          </w:tcPr>
          <w:p w14:paraId="00100008" w14:textId="00100009"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B46A3C"/>
                <w:sz w:val="20"/>
              </w:rPr>
              <w:t>Главное правило реализации</w:t>
            </w:r>
          </w:p>
          <w:p w14:paraId="0010000A" w14:textId="0010000B">
            <w:pPr>
              <w:spacing w:after="0" w:line="269" w:lineRule="auto"/>
            </w:pPr>
            <w:r>
              <w:rPr>
                <w:rFonts w:ascii="Calibri" w:hAnsi="Calibri" w:eastAsia="Calibri"/>
                <w:b w:val="0"/>
                <w:i w:val="0"/>
                <w:color w:val="111827"/>
                <w:sz w:val="18"/>
              </w:rPr>
              <w:t>CLM нельзя внедрять как чтение 12 документов подряд. Реализация идет через форматы работы: Презентация, Диагностика, Сессия, Спринт, Сопровождение. DOCX объясняют технологию, XLSX фиксируют данные и выводы, кейсы доказывают применимость.</w:t>
            </w:r>
          </w:p>
        </w:tc>
      </w:tr>
    </w:tbl>
    <w:p w14:paraId="0010000C" w14:textId="0010000D"/>
    <w:p w14:paraId="0010000E" w14:textId="0010000F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1. Состав операционной системы CLM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21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10" w14:textId="00100011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Слой</w:t>
            </w:r>
          </w:p>
        </w:tc>
        <w:tc>
          <w:tcPr>
            <w:tcW w:w="39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12" w14:textId="00100013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Что входит</w:t>
            </w:r>
          </w:p>
        </w:tc>
        <w:tc>
          <w:tcPr>
            <w:tcW w:w="336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14" w14:textId="00100015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Зачем нужен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16" w14:textId="00100017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Методика</w:t>
            </w:r>
          </w:p>
        </w:tc>
        <w:tc>
          <w:tcPr>
            <w:tcW w:w="3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18" w14:textId="0010001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12 DOCX-блоков, главный гид, FAQ / частые вопросы, глоссарий.</w:t>
            </w:r>
          </w:p>
        </w:tc>
        <w:tc>
          <w:tcPr>
            <w:tcW w:w="3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1A" w14:textId="0010001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Единая логика технологии и терминов.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1C" w14:textId="0010001D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Рабочий слой</w:t>
            </w:r>
          </w:p>
        </w:tc>
        <w:tc>
          <w:tcPr>
            <w:tcW w:w="3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1E" w14:textId="0010001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XLSX 3-12: диагностика, оценка, Decision OS, синхронизация, устойчивость, переход, AI / ИИ, панель, Roadmap / дорожная карта, артефакты.</w:t>
            </w:r>
          </w:p>
        </w:tc>
        <w:tc>
          <w:tcPr>
            <w:tcW w:w="3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20" w14:textId="0010002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Заполнение, расчет, отчет и управленческий вывод.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22" w14:textId="00100023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Коммерческий слой</w:t>
            </w:r>
          </w:p>
        </w:tc>
        <w:tc>
          <w:tcPr>
            <w:tcW w:w="3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24" w14:textId="0010002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Презентация, первый разговор, квалификация, возражения, цены и упаковка.</w:t>
            </w:r>
          </w:p>
        </w:tc>
        <w:tc>
          <w:tcPr>
            <w:tcW w:w="3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26" w14:textId="0010002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Продажа через ценность, а не через документы.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28" w14:textId="00100029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Реализационный слой</w:t>
            </w:r>
          </w:p>
        </w:tc>
        <w:tc>
          <w:tcPr>
            <w:tcW w:w="3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2A" w14:textId="0010002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Онбординг, кикофф, weekly review / еженедельный отчет, финальный отчет, кейс.</w:t>
            </w:r>
          </w:p>
        </w:tc>
        <w:tc>
          <w:tcPr>
            <w:tcW w:w="3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2C" w14:textId="0010002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Удержание процесса и результата.</w:t>
            </w:r>
          </w:p>
        </w:tc>
      </w:tr>
    </w:tbl>
    <w:p w14:paraId="0010002E" w14:textId="0010002F"/>
    <w:p w14:paraId="00100030" w14:textId="00100031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2. Сквозная схема реализации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0B1F33"/>
          </w:tcPr>
          <w:p w14:paraId="00100032" w14:textId="00100033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Промежуток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0F766E"/>
          </w:tcPr>
          <w:p w14:paraId="00100034" w14:textId="00100035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Диагностика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0F766E"/>
          </w:tcPr>
          <w:p w14:paraId="00100036" w14:textId="00100037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Сессия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0F766E"/>
          </w:tcPr>
          <w:p w14:paraId="00100038" w14:textId="00100039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Спринт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0B1F33"/>
          </w:tcPr>
          <w:p w14:paraId="0010003A" w14:textId="0010003B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Сопровождение</w:t>
            </w:r>
          </w:p>
        </w:tc>
      </w:tr>
      <w:tr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F3EBDD"/>
          </w:tcPr>
          <w:p w14:paraId="0010003C" w14:textId="0010003D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Презентация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EAF2F8"/>
          </w:tcPr>
          <w:p w14:paraId="0010003E" w14:textId="0010003F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Найти разрыв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EAF2F8"/>
          </w:tcPr>
          <w:p w14:paraId="00100040" w14:textId="00100041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Собрать решение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EAF2F8"/>
          </w:tcPr>
          <w:p w14:paraId="00100042" w14:textId="00100043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Проверить</w:t>
            </w:r>
          </w:p>
        </w:tc>
        <w:tc>
          <w:tcPr>
            <w:tcW w:w="1872" w:type="dxa"/>
            <w:tcMar>
              <w:top w:w="80" w:type="dxa"/>
              <w:start w:w="80" w:type="dxa"/>
              <w:bottom w:w="80" w:type="dxa"/>
              <w:end w:w="80" w:type="dxa"/>
            </w:tcMar>
            <w:shd w:fill="F3EBDD"/>
          </w:tcPr>
          <w:p w14:paraId="00100044" w14:textId="00100045"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Удержать</w:t>
            </w:r>
          </w:p>
        </w:tc>
      </w:tr>
    </w:tbl>
    <w:p w14:paraId="00100046" w14:textId="00100047"/>
    <w:p w14:paraId="00100048" w14:textId="00100049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3. Форматы реализации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w="130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4A" w14:textId="0010004B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Формат</w:t>
            </w:r>
          </w:p>
        </w:tc>
        <w:tc>
          <w:tcPr>
            <w:tcW w:w="205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4C" w14:textId="0010004D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Вход</w:t>
            </w:r>
          </w:p>
        </w:tc>
        <w:tc>
          <w:tcPr>
            <w:tcW w:w="275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4E" w14:textId="0010004F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Что делаем</w:t>
            </w:r>
          </w:p>
        </w:tc>
        <w:tc>
          <w:tcPr>
            <w:tcW w:w="190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50" w14:textId="00100051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Выход</w:t>
            </w:r>
          </w:p>
        </w:tc>
        <w:tc>
          <w:tcPr>
            <w:tcW w:w="136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52" w14:textId="00100053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Решение после этапа</w:t>
            </w:r>
          </w:p>
        </w:tc>
      </w:tr>
      <w:tr>
        <w:trPr>
          <w:cantSplit/>
        </w:trPr>
        <w:tc>
          <w:tcPr>
            <w:tcW w:w="1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54" w14:textId="00100055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Презентация</w:t>
            </w:r>
          </w:p>
        </w:tc>
        <w:tc>
          <w:tcPr>
            <w:tcW w:w="20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56" w14:textId="0010005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Запрос с сайта или рекомендация.</w:t>
            </w:r>
          </w:p>
        </w:tc>
        <w:tc>
          <w:tcPr>
            <w:tcW w:w="2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58" w14:textId="0010005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Показываем проблему, 12 блоков, продукты, кейсы, цены после ценности.</w:t>
            </w:r>
          </w:p>
        </w:tc>
        <w:tc>
          <w:tcPr>
            <w:tcW w:w="1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5A" w14:textId="0010005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Понимание CLM и интерес к разговору.</w:t>
            </w:r>
          </w:p>
        </w:tc>
        <w:tc>
          <w:tcPr>
            <w:tcW w:w="1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5C" w14:textId="0010005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Стратегический разговор / стоп.</w:t>
            </w:r>
          </w:p>
        </w:tc>
      </w:tr>
      <w:tr>
        <w:trPr>
          <w:cantSplit/>
        </w:trPr>
        <w:tc>
          <w:tcPr>
            <w:tcW w:w="1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5E" w14:textId="0010005F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Диагностика</w:t>
            </w:r>
          </w:p>
        </w:tc>
        <w:tc>
          <w:tcPr>
            <w:tcW w:w="20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60" w14:textId="0010006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Есть боль, доступ к CEO и первому кругу, но нет подтвержденного диагноза.</w:t>
            </w:r>
          </w:p>
        </w:tc>
        <w:tc>
          <w:tcPr>
            <w:tcW w:w="2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62" w14:textId="0010006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Интервью, документы, разбор решений, XLSX блока 3 и при необходимости смежные блоки.</w:t>
            </w:r>
          </w:p>
        </w:tc>
        <w:tc>
          <w:tcPr>
            <w:tcW w:w="1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64" w14:textId="00100176">
            <w:pPr>
              <w:spacing w:after="0" w:line="254" w:lineRule="auto"/>
            </w:pPr>
            <w:r>
              <w:t xml:space="preserve">Карта C-level-разрывов и протокол вердикта.</w:t>
            </w:r>
          </w:p>
        </w:tc>
        <w:tc>
          <w:tcPr>
            <w:tcW w:w="1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66" w14:textId="00100177">
            <w:pPr>
              <w:spacing w:after="0" w:line="254" w:lineRule="auto"/>
            </w:pPr>
            <w:r>
              <w:t xml:space="preserve">GO → Сессия; GO при условиях → закрыть условия внутри Диагностики, затем Сессия; HOLD → пауза с возвратом в Диагностику; STOP / NO FIT → завершить.</w:t>
            </w:r>
          </w:p>
        </w:tc>
      </w:tr>
      <w:tr>
        <w:trPr>
          <w:cantSplit/>
        </w:trPr>
        <w:tc>
          <w:tcPr>
            <w:tcW w:w="1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68" w14:textId="00100069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Сессия</w:t>
            </w:r>
          </w:p>
        </w:tc>
        <w:tc>
          <w:tcPr>
            <w:tcW w:w="20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6A" w14:textId="0010006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Диагноз подтвержден, участники имеют мандат принимать решения.</w:t>
            </w:r>
          </w:p>
        </w:tc>
        <w:tc>
          <w:tcPr>
            <w:tcW w:w="2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6C" w14:textId="0010006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Собираем целевую конфигурацию, роли, мандаты, Decision OS, план 30 / 60 / 90.</w:t>
            </w:r>
          </w:p>
        </w:tc>
        <w:tc>
          <w:tcPr>
            <w:tcW w:w="1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6E" w14:textId="0010006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Архитектурное решение.</w:t>
            </w:r>
          </w:p>
        </w:tc>
        <w:tc>
          <w:tcPr>
            <w:tcW w:w="1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70" w14:textId="00100178">
            <w:pPr>
              <w:spacing w:after="0" w:line="254" w:lineRule="auto"/>
            </w:pPr>
            <w:r>
              <w:t>Паспорт Спринта готов → заказчик выбирает Спринт с консультантом или самостоятельную реализацию по Паспорту; паспорт не готов → доработка в Сессии; обязательный блокер → STOP. Сопровождение открывается только после подтвержденного внедрения.</w:t>
            </w:r>
          </w:p>
        </w:tc>
      </w:tr>
      <w:tr>
        <w:trPr>
          <w:cantSplit/>
        </w:trPr>
        <w:tc>
          <w:tcPr>
            <w:tcW w:w="1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72" w14:textId="00100073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Спринт</w:t>
            </w:r>
          </w:p>
        </w:tc>
        <w:tc>
          <w:tcPr>
            <w:tcW w:w="20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74" w14:textId="0010007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Есть выбранный ограниченный контур, владелец и метрика успеха.</w:t>
            </w:r>
          </w:p>
        </w:tc>
        <w:tc>
          <w:tcPr>
            <w:tcW w:w="2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76" w14:textId="0010007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Тестируем новую архитектуру на реальном стыке, решении или контуре.</w:t>
            </w:r>
          </w:p>
        </w:tc>
        <w:tc>
          <w:tcPr>
            <w:tcW w:w="1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78" w14:textId="0010007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Метрики до / после, отклонения, вердикт.</w:t>
            </w:r>
          </w:p>
        </w:tc>
        <w:tc>
          <w:tcPr>
            <w:tcW w:w="1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7A" w14:textId="00100179">
            <w:pPr>
              <w:spacing w:after="0" w:line="254" w:lineRule="auto"/>
            </w:pPr>
            <w:r>
              <w:t xml:space="preserve">Внедренный результат → Сопровождение при необходимости или завершение; исправимое отклонение → продолжить Спринт; неверная исходная архитектура → Сессия; неустранимый блокер → STOP.</w:t>
            </w:r>
          </w:p>
        </w:tc>
      </w:tr>
      <w:tr>
        <w:trPr>
          <w:cantSplit/>
        </w:trPr>
        <w:tc>
          <w:tcPr>
            <w:tcW w:w="1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7C" w14:textId="0010007D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Сопровождение</w:t>
            </w:r>
          </w:p>
        </w:tc>
        <w:tc>
          <w:tcPr>
            <w:tcW w:w="20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7E" w14:textId="0010007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Нужно удерживать архитектуру во времени.</w:t>
            </w:r>
          </w:p>
        </w:tc>
        <w:tc>
          <w:tcPr>
            <w:tcW w:w="2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80" w14:textId="0010008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Регулярные review / разборы, контроль мандатов, Decision OS, панели и рисков.</w:t>
            </w:r>
          </w:p>
        </w:tc>
        <w:tc>
          <w:tcPr>
            <w:tcW w:w="19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82" w14:textId="0010008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Долговременная управляемость.</w:t>
            </w:r>
          </w:p>
        </w:tc>
        <w:tc>
          <w:tcPr>
            <w:tcW w:w="13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84" w14:textId="0010017A">
            <w:pPr>
              <w:spacing w:after="0" w:line="254" w:lineRule="auto"/>
            </w:pPr>
            <w:r>
              <w:t xml:space="preserve">Удерживать → продолжить Сопровождение; ограниченная корректировка → новый Спринт; изменение архитектуры → Сессия; стабильный результат → завершить.</w:t>
            </w:r>
          </w:p>
        </w:tc>
      </w:tr>
    </w:tbl>
    <w:p w14:paraId="00100086" w14:textId="00100087"/>
    <w:p w14:paraId="00100088" w14:textId="00100089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4. Связь 12 блоков CLM с форматами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16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8A" w14:textId="0010008B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Блоки</w:t>
            </w:r>
          </w:p>
        </w:tc>
        <w:tc>
          <w:tcPr>
            <w:tcW w:w="475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8C" w14:textId="0010008D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Роль в реализации</w:t>
            </w:r>
          </w:p>
        </w:tc>
        <w:tc>
          <w:tcPr>
            <w:tcW w:w="301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8E" w14:textId="0010008F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Где применяются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90" w14:textId="00100091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1-2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92" w14:textId="0010009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Фундамент, архитектура, модель 23 / 15 / 7, роли и мандаты.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94" w14:textId="0010009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Презентация, Диагностика, Сессия.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96" w14:textId="00100097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3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98" w14:textId="0010009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Главный диагностический вход: карта разрывов C-level-ядра.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9A" w14:textId="0010009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Диагностика.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9C" w14:textId="0010009D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4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9E" w14:textId="0010009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Оценка руководителей относительно роли, мандата и системной задачи.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A0" w14:textId="001000A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Диагностика, Сессия, Сопровождение.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A2" w14:textId="001000A3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5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A4" w14:textId="001000A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Decision OS / система решений: вход, владелец, данные, права, фиксация, разбор.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A6" w14:textId="001000A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Сессия, Спринт, Сопровождение.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A8" w14:textId="001000A9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6-8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AA" w14:textId="001000A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Синхронизация, устойчивость и лидерский переход.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AC" w14:textId="001000A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Сессия, Спринт, Сопровождение.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AE" w14:textId="001000AF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9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B0" w14:textId="001000B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AI / ИИ-контур, допуск, владелец данных, эффект, риск, человеческая проверка.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B2" w14:textId="001000B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Диагностика, Спринт, Сопровождение при наличии AI / ИИ-сценариев.</w:t>
            </w:r>
          </w:p>
        </w:tc>
      </w:tr>
      <w:tr>
        <w:trPr>
          <w:cantSplit/>
        </w:trPr>
        <w:tc>
          <w:tcPr>
            <w:tcW w:w="16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B4" w14:textId="001000B5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10-12</w:t>
            </w:r>
          </w:p>
        </w:tc>
        <w:tc>
          <w:tcPr>
            <w:tcW w:w="47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B6" w14:textId="001000B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Панель, дорожная карта, библиотека артефактов.</w:t>
            </w:r>
          </w:p>
        </w:tc>
        <w:tc>
          <w:tcPr>
            <w:tcW w:w="30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B8" w14:textId="001000B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Спринт, Сопровождение, финальный отчет.</w:t>
            </w:r>
          </w:p>
        </w:tc>
      </w:tr>
    </w:tbl>
    <w:p w14:paraId="001000BA" w14:textId="001000BB"/>
    <w:p w14:paraId="001000BC" w14:textId="001000BD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5. Обязательные артефакты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15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BE" w14:textId="001000BF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Этап</w:t>
            </w:r>
          </w:p>
        </w:tc>
        <w:tc>
          <w:tcPr>
            <w:tcW w:w="42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C0" w14:textId="001000C1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Артефакты</w:t>
            </w:r>
          </w:p>
        </w:tc>
        <w:tc>
          <w:tcPr>
            <w:tcW w:w="366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C2" w14:textId="001000C3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Критерий готовности</w:t>
            </w:r>
          </w:p>
        </w:tc>
      </w:tr>
      <w:tr>
        <w:trPr>
          <w:cantSplit/>
        </w:trPr>
        <w:tc>
          <w:tcPr>
            <w:tcW w:w="1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C4" w14:textId="001000C5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До старта</w:t>
            </w:r>
          </w:p>
        </w:tc>
        <w:tc>
          <w:tcPr>
            <w:tcW w:w="42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C6" w14:textId="001000C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Brief проекта, scope / объем, список участников, запрос данных.</w:t>
            </w:r>
          </w:p>
        </w:tc>
        <w:tc>
          <w:tcPr>
            <w:tcW w:w="36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C8" w14:textId="001000C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Есть доступ к CEO, первому кругу и материалам.</w:t>
            </w:r>
          </w:p>
        </w:tc>
      </w:tr>
      <w:tr>
        <w:trPr>
          <w:cantSplit/>
        </w:trPr>
        <w:tc>
          <w:tcPr>
            <w:tcW w:w="1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CA" w14:textId="001000CB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Диагностика</w:t>
            </w:r>
          </w:p>
        </w:tc>
        <w:tc>
          <w:tcPr>
            <w:tcW w:w="42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CC" w14:textId="001000C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Диагностический отчет, карта разрывов, карта решений, рекомендация следующего шага.</w:t>
            </w:r>
          </w:p>
        </w:tc>
        <w:tc>
          <w:tcPr>
            <w:tcW w:w="36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CE" w14:textId="001000C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Есть не менее 3 подтвержденных разрывов или обоснованный стоп.</w:t>
            </w:r>
          </w:p>
        </w:tc>
      </w:tr>
      <w:tr>
        <w:trPr>
          <w:cantSplit/>
        </w:trPr>
        <w:tc>
          <w:tcPr>
            <w:tcW w:w="1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D0" w14:textId="001000D1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Сессия</w:t>
            </w:r>
          </w:p>
        </w:tc>
        <w:tc>
          <w:tcPr>
            <w:tcW w:w="42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D2" w14:textId="001000D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Протокол, целевая конфигурация, карта мандатов, Decision OS, план 30 / 60 / 90.</w:t>
            </w:r>
          </w:p>
        </w:tc>
        <w:tc>
          <w:tcPr>
            <w:tcW w:w="36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D4" w14:textId="001000D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Решения зафиксированы, владельцы назначены.</w:t>
            </w:r>
          </w:p>
        </w:tc>
      </w:tr>
      <w:tr>
        <w:trPr>
          <w:cantSplit/>
        </w:trPr>
        <w:tc>
          <w:tcPr>
            <w:tcW w:w="1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D6" w14:textId="001000D7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Спринт</w:t>
            </w:r>
          </w:p>
        </w:tc>
        <w:tc>
          <w:tcPr>
            <w:tcW w:w="42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D8" w14:textId="001000D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Паспорт спринта, базовые метрики, weekly review / еженедельный разбор, итоговый разбор.</w:t>
            </w:r>
          </w:p>
        </w:tc>
        <w:tc>
          <w:tcPr>
            <w:tcW w:w="36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DA" w14:textId="001000D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Есть метрики до / после и управленческий вердикт.</w:t>
            </w:r>
          </w:p>
        </w:tc>
      </w:tr>
      <w:tr>
        <w:trPr>
          <w:cantSplit/>
        </w:trPr>
        <w:tc>
          <w:tcPr>
            <w:tcW w:w="1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DC" w14:textId="001000DD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Сопровождение</w:t>
            </w:r>
          </w:p>
        </w:tc>
        <w:tc>
          <w:tcPr>
            <w:tcW w:w="42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DE" w14:textId="001000D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Календарь касаний, ежемесячный review, карта рисков, обновление Roadmap / дорожной карты.</w:t>
            </w:r>
          </w:p>
        </w:tc>
        <w:tc>
          <w:tcPr>
            <w:tcW w:w="36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E0" w14:textId="001000E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Архитектура не откатывается в ручное управление.</w:t>
            </w:r>
          </w:p>
        </w:tc>
      </w:tr>
      <w:tr>
        <w:trPr>
          <w:cantSplit/>
        </w:trPr>
        <w:tc>
          <w:tcPr>
            <w:tcW w:w="1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E2" w14:textId="001000E3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Завершение</w:t>
            </w:r>
          </w:p>
        </w:tc>
        <w:tc>
          <w:tcPr>
            <w:tcW w:w="42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E4" w14:textId="001000E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Финальный отчет и кейс.</w:t>
            </w:r>
          </w:p>
        </w:tc>
        <w:tc>
          <w:tcPr>
            <w:tcW w:w="36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E6" w14:textId="001000E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Показано: с чего начинали, что сделали, что изменилось, что закрепили.</w:t>
            </w:r>
          </w:p>
        </w:tc>
      </w:tr>
    </w:tbl>
    <w:p w14:paraId="001000E8" w14:textId="001000E9"/>
    <w:p w14:paraId="001000EA" w14:textId="001000EB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6. Go / Hold / No-Go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180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EC" w14:textId="001000ED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Статус</w:t>
            </w:r>
          </w:p>
        </w:tc>
        <w:tc>
          <w:tcPr>
            <w:tcW w:w="430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EE" w14:textId="001000EF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Когда ставить</w:t>
            </w:r>
          </w:p>
        </w:tc>
        <w:tc>
          <w:tcPr>
            <w:tcW w:w="3260" w:type="dxa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0F0" w14:textId="001000F1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Что делать</w:t>
            </w:r>
          </w:p>
        </w:tc>
      </w:tr>
      <w:tr>
        <w:trPr>
          <w:cantSplit/>
        </w:trPr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F2" w14:textId="001000F3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F4" w14:textId="001000F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боль, ЛПР, доступ к первому кругу, данные и готовность к управленческому решению.</w:t>
            </w:r>
          </w:p>
        </w:tc>
        <w:tc>
          <w:tcPr>
            <w:tcW w:w="32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F6" w14:textId="001000F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Запускать следующий формат.</w:t>
            </w:r>
          </w:p>
        </w:tc>
      </w:tr>
      <w:tr>
        <w:trPr>
          <w:cantSplit/>
        </w:trPr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F8" w14:textId="001000F9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HOLD / удержать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FA" w14:textId="001000F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интерес, но нет доступа, данных, времени CEO или согласия ключевых участников.</w:t>
            </w:r>
          </w:p>
        </w:tc>
        <w:tc>
          <w:tcPr>
            <w:tcW w:w="32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0FC" w14:textId="001000F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Закрыть условия входа, не начинать проект декоративно.</w:t>
            </w:r>
          </w:p>
        </w:tc>
      </w:tr>
      <w:tr>
        <w:trPr>
          <w:cantSplit/>
        </w:trPr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0FE" w14:textId="001000FF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NO-GO / не запускать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00" w14:textId="0010010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Клиент хочет только оргсхему, HR-оценку, фасилитацию без решений или дешевую консультацию без доступа к C-level.</w:t>
            </w:r>
          </w:p>
        </w:tc>
        <w:tc>
          <w:tcPr>
            <w:tcW w:w="32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02" w14:textId="0010010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Остановить или предложить другой продукт.</w:t>
            </w:r>
          </w:p>
        </w:tc>
      </w:tr>
    </w:tbl>
    <w:p w14:paraId="00100104" w14:textId="00100105"/>
    <w:p w14:paraId="00100106" w14:textId="00100107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7. Ритм управления проектом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21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08" w14:textId="00100109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Ритм</w:t>
            </w:r>
          </w:p>
        </w:tc>
        <w:tc>
          <w:tcPr>
            <w:tcW w:w="43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0A" w14:textId="0010010B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Содержание</w:t>
            </w:r>
          </w:p>
        </w:tc>
        <w:tc>
          <w:tcPr>
            <w:tcW w:w="296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0C" w14:textId="0010010D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Для чего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0E" w14:textId="0010010F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Кикофф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10" w14:textId="0010011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Цель, ожидания, критерии успеха, доступы, календарь.</w:t>
            </w:r>
          </w:p>
        </w:tc>
        <w:tc>
          <w:tcPr>
            <w:tcW w:w="29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12" w14:textId="0010011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Снять хаос до старта.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14" w14:textId="00100115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Weekly review / еженедельный разбор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16" w14:textId="0010011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Статус треков, решения, метрики, риски, следующие действия.</w:t>
            </w:r>
          </w:p>
        </w:tc>
        <w:tc>
          <w:tcPr>
            <w:tcW w:w="29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18" w14:textId="0010011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Не дать проекту превратиться в разговоры.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1A" w14:textId="0010011B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Ежемесячный review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1C" w14:textId="0010011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Архитектура, ownership / владение, Decision OS, синхронизация, устойчивость.</w:t>
            </w:r>
          </w:p>
        </w:tc>
        <w:tc>
          <w:tcPr>
            <w:tcW w:w="29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1E" w14:textId="0010011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Проверить, не откатывается ли система.</w:t>
            </w:r>
          </w:p>
        </w:tc>
      </w:tr>
      <w:tr>
        <w:trPr>
          <w:cantSplit/>
        </w:trPr>
        <w:tc>
          <w:tcPr>
            <w:tcW w:w="21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20" w14:textId="00100121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Финальный отчет</w:t>
            </w:r>
          </w:p>
        </w:tc>
        <w:tc>
          <w:tcPr>
            <w:tcW w:w="43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22" w14:textId="0010012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До / после, цели, метрики, артефакты, решение о следующем шаге.</w:t>
            </w:r>
          </w:p>
        </w:tc>
        <w:tc>
          <w:tcPr>
            <w:tcW w:w="29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24" w14:textId="0010012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Закрыть цикл и создать кейс.</w:t>
            </w:r>
          </w:p>
        </w:tc>
      </w:tr>
    </w:tbl>
    <w:p w14:paraId="00100126" w14:textId="00100127"/>
    <w:p w14:paraId="00100128" w14:textId="00100129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8. Антиошибки реализации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25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2A" w14:textId="0010012B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Ошибка</w:t>
            </w:r>
          </w:p>
        </w:tc>
        <w:tc>
          <w:tcPr>
            <w:tcW w:w="335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2C" w14:textId="0010012D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Почему опасно</w:t>
            </w:r>
          </w:p>
        </w:tc>
        <w:tc>
          <w:tcPr>
            <w:tcW w:w="351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2E" w14:textId="0010012F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Правильное действие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30" w14:textId="00100131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Свести CLM к оргструктуре</w:t>
            </w:r>
          </w:p>
        </w:tc>
        <w:tc>
          <w:tcPr>
            <w:tcW w:w="33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32" w14:textId="0010013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Исчезает главный предмет: роли, мандаты, решения и ответственность.</w:t>
            </w:r>
          </w:p>
        </w:tc>
        <w:tc>
          <w:tcPr>
            <w:tcW w:w="35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34" w14:textId="0010013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Проверять фактическое владение решениями.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36" w14:textId="00100137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Свести CLM к HR-оценке</w:t>
            </w:r>
          </w:p>
        </w:tc>
        <w:tc>
          <w:tcPr>
            <w:tcW w:w="33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38" w14:textId="0010013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Оценка людей без архитектуры не меняет систему.</w:t>
            </w:r>
          </w:p>
        </w:tc>
        <w:tc>
          <w:tcPr>
            <w:tcW w:w="35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3A" w14:textId="0010013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Сначала система, потом человек в роли.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3C" w14:textId="0010013D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Провести сессию без диагноза</w:t>
            </w:r>
          </w:p>
        </w:tc>
        <w:tc>
          <w:tcPr>
            <w:tcW w:w="33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3E" w14:textId="0010013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Получится разговор про команду, а не решение.</w:t>
            </w:r>
          </w:p>
        </w:tc>
        <w:tc>
          <w:tcPr>
            <w:tcW w:w="35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40" w14:textId="0010014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Сначала подтвердить разрывы.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42" w14:textId="00100143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Запустить спринт без владельца и метрики</w:t>
            </w:r>
          </w:p>
        </w:tc>
        <w:tc>
          <w:tcPr>
            <w:tcW w:w="33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44" w14:textId="00100145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Нечего проверять и нечем доказать результат.</w:t>
            </w:r>
          </w:p>
        </w:tc>
        <w:tc>
          <w:tcPr>
            <w:tcW w:w="35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46" w14:textId="0010014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Паспорт спринта до старта.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48" w14:textId="00100149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Показать все 12 блоков клиенту как обязательную дорогу</w:t>
            </w:r>
          </w:p>
        </w:tc>
        <w:tc>
          <w:tcPr>
            <w:tcW w:w="335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4A" w14:textId="0010014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Технология станет тяжелой и непродаваемой.</w:t>
            </w:r>
          </w:p>
        </w:tc>
        <w:tc>
          <w:tcPr>
            <w:tcW w:w="351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4C" w14:textId="0010014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Входить с нужного этапа.</w:t>
            </w:r>
          </w:p>
        </w:tc>
      </w:tr>
    </w:tbl>
    <w:p w14:paraId="0010014E" w14:textId="0010014F"/>
    <w:p w14:paraId="00100150" w14:textId="00100151"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9. Ролевая проверка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Ind w:w="120" w:type="dxa"/>
        <w:tblBorders>
          <w:top w:val="single" w:color="D8D2C8" w:sz="4" w:space="0"/>
          <w:left w:val="single" w:color="D8D2C8" w:sz="4" w:space="0"/>
          <w:bottom w:val="single" w:color="D8D2C8" w:sz="4" w:space="0"/>
          <w:right w:val="single" w:color="D8D2C8" w:sz="4" w:space="0"/>
          <w:insideH w:val="single" w:color="D8D2C8" w:sz="4" w:space="0"/>
          <w:insideV w:val="single" w:color="D8D2C8" w:sz="4" w:space="0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w="25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52" w14:textId="00100153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Режим</w:t>
            </w:r>
          </w:p>
        </w:tc>
        <w:tc>
          <w:tcPr>
            <w:tcW w:w="180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54" w14:textId="00100155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Вердикт</w:t>
            </w:r>
          </w:p>
        </w:tc>
        <w:tc>
          <w:tcPr>
            <w:tcW w:w="5060" w:type="dxa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 w14:paraId="00100156" w14:textId="00100157"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Комментарий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58" w14:textId="00100159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Архитектор CLM</w:t>
            </w:r>
          </w:p>
        </w:tc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5A" w14:textId="0010015B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w="50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5C" w14:textId="0010015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12 блоков сохранены, но реализация идет через форматы работы.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5E" w14:textId="0010015F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Методолог</w:t>
            </w:r>
          </w:p>
        </w:tc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60" w14:textId="00100161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w="50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62" w14:textId="00100163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DOCX, XLSX и артефакты разведены по ролям.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64" w14:textId="00100165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Коммерческий внедренец</w:t>
            </w:r>
          </w:p>
        </w:tc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66" w14:textId="00100167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w="50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 w14:paraId="00100168" w14:textId="00100169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понятная цепочка от презентации до Сопровождение.</w:t>
            </w:r>
          </w:p>
        </w:tc>
      </w:tr>
      <w:tr>
        <w:trPr>
          <w:cantSplit/>
        </w:trPr>
        <w:tc>
          <w:tcPr>
            <w:tcW w:w="25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6A" w14:textId="0010016B"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QA / контроль</w:t>
            </w:r>
          </w:p>
        </w:tc>
        <w:tc>
          <w:tcPr>
            <w:tcW w:w="180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6C" w14:textId="0010016D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w="5060" w:type="dxa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 w14:paraId="0010016E" w14:textId="0010016F"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Go / Hold / No-Go и критерии готовности каждого этапа.</w:t>
            </w:r>
          </w:p>
        </w:tc>
      </w:tr>
    </w:tbl>
    <w:p w14:paraId="00100170" w14:textId="00100171"/>
    <w:sectPr w:rsidRPr="0006063C" w:rsidR="00FC693F" w:rsidSect="00034616">
      <w:headerReference w:type="default" r:id="rId9"/>
      <w:footerReference w:type="default" r:id="rId10"/>
      <w:pgSz w:w="12240" w:h="15840"/>
      <w:pgMar w:top="1037" w:right="1037" w:bottom="1037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174" w14:textId="00100175">
    <w:pPr>
      <w:pStyle w:val="Footer"/>
      <w:jc w:val="right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172" w14:textId="00100173">
    <w:pPr>
      <w:pStyle w:val="Header"/>
      <w:jc w:val="right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100" w:line="271" w:lineRule="auto"/>
    </w:pPr>
    <w:rPr>
      <w:rFonts w:ascii="Calibri" w:hAnsi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 w:line="264" w:lineRule="auto"/>
      <w:outlineLvl w:val="0"/>
    </w:pPr>
    <w:rPr>
      <w:rFonts w:ascii="Calibri" w:hAnsi="Calibri" w:asciiTheme="majorHAnsi" w:hAnsiTheme="majorHAnsi" w:eastAsiaTheme="majorEastAsia" w:cstheme="majorBidi"/>
      <w:b/>
      <w:bCs/>
      <w:color w:val="0B1F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64" w:lineRule="auto"/>
      <w:outlineLvl w:val="1"/>
    </w:pPr>
    <w:rPr>
      <w:rFonts w:ascii="Calibri" w:hAnsi="Calibri" w:asciiTheme="majorHAnsi" w:hAnsiTheme="majorHAnsi" w:eastAsiaTheme="majorEastAsia" w:cstheme="majorBidi"/>
      <w:b/>
      <w:bCs/>
      <w:color w:val="B46A3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64" w:lineRule="auto"/>
      <w:outlineLvl w:val="2"/>
    </w:pPr>
    <w:rPr>
      <w:rFonts w:ascii="Calibri" w:hAnsi="Calibri" w:asciiTheme="majorHAnsi" w:hAnsiTheme="majorHAnsi" w:eastAsiaTheme="majorEastAsia" w:cstheme="majorBidi"/>
      <w:b/>
      <w:bCs/>
      <w:color w:val="0B1F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CLM_IMPLEMENTATION_METHODOLOGY_V1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1.0.156</vt:lpwstr>
  </op:property>
  <op:property fmtid="{D5CDD505-2E9C-101B-9397-08002B2CF9AE}" pid="3" name="OfficeCLI.LastModified">
    <vt:lpwstr xmlns:vt="http://schemas.openxmlformats.org/officeDocument/2006/docPropsVTypes">2026-10-12T13:42:25Z</vt:lpwstr>
  </op:property>
</op:Properties>
</file>