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a70e0bc751214271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100000" w14:textId="00100001">
      <w:pPr>
        <w:spacing w:after="40" w:line="259" w:lineRule="auto"/>
        <w:jc w:val="center"/>
      </w:pPr>
      <w:r>
        <w:rPr>
          <w:rFonts w:ascii="Arial" w:hAnsi="Arial" w:eastAsia="Arial"/>
          <w:b/>
          <w:color w:val="163247"/>
          <w:sz w:val="44"/>
        </w:rPr>
        <w:t>Управление Директорами / CLM</w:t>
      </w:r>
    </w:p>
    <w:p w14:paraId="00100002" w14:textId="00100003">
      <w:pPr>
        <w:spacing w:after="160" w:line="259" w:lineRule="auto"/>
        <w:jc w:val="center"/>
      </w:pPr>
      <w:r>
        <w:rPr>
          <w:rFonts w:ascii="Arial" w:hAnsi="Arial" w:eastAsia="Arial"/>
          <w:b/>
          <w:color w:val="0F766E"/>
          <w:sz w:val="28"/>
        </w:rPr>
        <w:t>Навигатор консультанта по 4 продуктам</w:t>
      </w:r>
    </w:p>
    <w:p w14:paraId="00100004" w14:textId="00100005">
      <w:pPr>
        <w:spacing w:after="200" w:line="259" w:lineRule="auto"/>
        <w:jc w:val="center"/>
      </w:pPr>
      <w:r>
        <w:rPr>
          <w:rFonts w:ascii="Arial" w:hAnsi="Arial" w:eastAsia="Arial"/>
          <w:b w:val="0"/>
          <w:color w:val="374151"/>
          <w:sz w:val="20"/>
        </w:rPr>
        <w:t>Технологическая основа: CLM / C-Level Management / управление C-level-ядром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0370"/>
      </w:tblGrid>
      <w:tr>
        <w:tc>
          <w:tcPr>
            <w:tcW w:w="10370" w:type="dxa"/>
            <w:shd w:fill="E6F4F1"/>
            <w:tcBorders>
              <w:top w:val="single" w:color="D7DEE5" w:sz="4" w:space="0"/>
              <w:left w:val="single" w:color="D7DEE5" w:sz="4" w:space="0"/>
              <w:bottom w:val="single" w:color="D7DEE5" w:sz="4" w:space="0"/>
              <w:right w:val="single" w:color="D7DEE5" w:sz="4" w:space="0"/>
              <w:insideH w:val="single" w:color="D7DEE5" w:sz="4" w:space="0"/>
              <w:insideV w:val="single" w:color="D7DEE5" w:sz="4" w:space="0"/>
            </w:tcBorders>
          </w:tcPr>
          <w:p w14:paraId="00100006" w14:textId="00100007">
            <w:pPr>
              <w:spacing w:after="40"/>
            </w:pPr>
            <w:r>
              <w:t>Назначение документа. Этот навигатор фиксирует рекомендуемую полную цепь Диагностика → Сессия → Спринт → Сопровождение. Диагностика обязательна; после положительного вердикта обязательна Сессия. Реализацию Спринта заказчик может купить у консультанта или выполнить самостоятельно по Паспорту; Сопровождение является опциональным. Документ не переписывает 12 блоков CLM, а показывает операционный путь применения технологии.</w:t>
            </w:r>
          </w:p>
        </w:tc>
      </w:tr>
    </w:tbl>
    <w:p w14:paraId="00100008" w14:textId="00100009">
      <w:pPr>
        <w:spacing w:after="60" w:line="259" w:lineRule="auto"/>
      </w:pPr>
      <w:r>
        <w:rPr>
          <w:rFonts w:ascii="Arial" w:hAnsi="Arial" w:eastAsia="Arial"/>
          <w:b w:val="0"/>
          <w:color w:val="1F2937"/>
          <w:sz w:val="20"/>
        </w:rPr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0370"/>
      </w:tblGrid>
      <w:tr>
        <w:tc>
          <w:tcPr>
            <w:tcW w:w="10370" w:type="dxa"/>
            <w:shd w:fill="FFF4CC"/>
            <w:tcBorders>
              <w:top w:val="single" w:color="D7DEE5" w:sz="4" w:space="0"/>
              <w:left w:val="single" w:color="D7DEE5" w:sz="4" w:space="0"/>
              <w:bottom w:val="single" w:color="D7DEE5" w:sz="4" w:space="0"/>
              <w:right w:val="single" w:color="D7DEE5" w:sz="4" w:space="0"/>
              <w:insideH w:val="single" w:color="D7DEE5" w:sz="4" w:space="0"/>
              <w:insideV w:val="single" w:color="D7DEE5" w:sz="4" w:space="0"/>
            </w:tcBorders>
          </w:tcPr>
          <w:p w14:paraId="0010000A" w14:textId="0010000B">
            <w:pPr>
              <w:spacing w:after="40"/>
            </w:pPr>
            <w:r>
              <w:rPr>
                <w:rFonts w:ascii="Arial" w:hAnsi="Arial" w:eastAsia="Arial"/>
                <w:b/>
                <w:color w:val="163247"/>
                <w:sz w:val="20"/>
              </w:rPr>
              <w:t xml:space="preserve">Главное ограничение. </w:t>
            </w:r>
            <w:r>
              <w:rPr>
                <w:rFonts w:ascii="Arial" w:hAnsi="Arial" w:eastAsia="Arial"/>
                <w:b w:val="0"/>
                <w:color w:val="1F2937"/>
                <w:sz w:val="20"/>
              </w:rPr>
              <w:t>Презентация и Стратегический разговор являются бесплатными коммерческими касаниями перед платной Диагностикой. Они не являются отдельными технологическими продуктами.</w:t>
            </w:r>
          </w:p>
        </w:tc>
      </w:tr>
    </w:tbl>
    <w:p w14:paraId="0010000C" w14:textId="0010000D">
      <w:pPr>
        <w:spacing w:after="60" w:line="259" w:lineRule="auto"/>
      </w:pPr>
      <w:r>
        <w:rPr>
          <w:rFonts w:ascii="Arial" w:hAnsi="Arial" w:eastAsia="Arial"/>
          <w:b w:val="0"/>
          <w:color w:val="1F2937"/>
          <w:sz w:val="20"/>
        </w:rPr>
      </w:r>
    </w:p>
    <w:p w14:paraId="0010000E" w14:textId="0010000F">
      <w:pPr>
        <w:spacing w:before="240" w:after="140"/>
      </w:pPr>
      <w:r>
        <w:rPr>
          <w:rFonts w:ascii="Arial" w:hAnsi="Arial" w:eastAsia="Arial"/>
          <w:b/>
          <w:color w:val="163247"/>
          <w:sz w:val="32"/>
        </w:rPr>
        <w:t>1. Общая логика цепи</w:t>
      </w:r>
    </w:p>
    <w:p w14:paraId="00100010" w14:textId="00100011">
      <w:pPr>
        <w:spacing w:after="160" w:line="259" w:lineRule="auto"/>
      </w:pPr>
      <w:r>
        <w:rPr>
          <w:rFonts w:ascii="Arial" w:hAnsi="Arial" w:eastAsia="Arial"/>
          <w:b w:val="0"/>
          <w:color w:val="1F2937"/>
          <w:sz w:val="20"/>
        </w:rPr>
        <w:t>CLM показывает, кто реально владеет решениями, где разорваны роли и мандаты, какие данные нужны для управления и почему результат застревает между директорами. Продуктовая цепь нужна, чтобы не продавать всю технологию сразу, а вести клиента от подтвержденной проблемы к реализованному управленческому результату.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w="1814" w:type="dxa"/>
            <w:shd w:fill="163247"/>
            <w:tcBorders>
              <w:top w:val="single" w:color="D7DEE5" w:sz="6" w:space="0"/>
              <w:left w:val="single" w:color="D7DEE5" w:sz="6" w:space="0"/>
              <w:bottom w:val="single" w:color="D7DEE5" w:sz="6" w:space="0"/>
              <w:right w:val="single" w:color="D7DEE5" w:sz="6" w:space="0"/>
              <w:insideH w:val="single" w:color="D7DEE5" w:sz="6" w:space="0"/>
              <w:insideV w:val="single" w:color="D7DEE5" w:sz="6" w:space="0"/>
            </w:tcBorders>
            <w:vAlign w:val="center"/>
          </w:tcPr>
          <w:p w14:paraId="00100012" w14:textId="00100013"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Коммерческий вход</w:t>
            </w:r>
          </w:p>
        </w:tc>
        <w:tc>
          <w:tcPr>
            <w:tcW w:w="1814" w:type="dxa"/>
            <w:shd w:fill="163247"/>
            <w:tcBorders>
              <w:top w:val="single" w:color="D7DEE5" w:sz="6" w:space="0"/>
              <w:left w:val="single" w:color="D7DEE5" w:sz="6" w:space="0"/>
              <w:bottom w:val="single" w:color="D7DEE5" w:sz="6" w:space="0"/>
              <w:right w:val="single" w:color="D7DEE5" w:sz="6" w:space="0"/>
              <w:insideH w:val="single" w:color="D7DEE5" w:sz="6" w:space="0"/>
              <w:insideV w:val="single" w:color="D7DEE5" w:sz="6" w:space="0"/>
            </w:tcBorders>
            <w:vAlign w:val="center"/>
          </w:tcPr>
          <w:p w14:paraId="00100014" w14:textId="00100015"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Продукт 1</w:t>
            </w:r>
          </w:p>
        </w:tc>
        <w:tc>
          <w:tcPr>
            <w:tcW w:w="1814" w:type="dxa"/>
            <w:shd w:fill="163247"/>
            <w:tcBorders>
              <w:top w:val="single" w:color="D7DEE5" w:sz="6" w:space="0"/>
              <w:left w:val="single" w:color="D7DEE5" w:sz="6" w:space="0"/>
              <w:bottom w:val="single" w:color="D7DEE5" w:sz="6" w:space="0"/>
              <w:right w:val="single" w:color="D7DEE5" w:sz="6" w:space="0"/>
              <w:insideH w:val="single" w:color="D7DEE5" w:sz="6" w:space="0"/>
              <w:insideV w:val="single" w:color="D7DEE5" w:sz="6" w:space="0"/>
            </w:tcBorders>
            <w:vAlign w:val="center"/>
          </w:tcPr>
          <w:p w14:paraId="00100016" w14:textId="00100017"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Продукт 2</w:t>
            </w:r>
          </w:p>
        </w:tc>
        <w:tc>
          <w:tcPr>
            <w:tcW w:w="1814" w:type="dxa"/>
            <w:shd w:fill="163247"/>
            <w:tcBorders>
              <w:top w:val="single" w:color="D7DEE5" w:sz="6" w:space="0"/>
              <w:left w:val="single" w:color="D7DEE5" w:sz="6" w:space="0"/>
              <w:bottom w:val="single" w:color="D7DEE5" w:sz="6" w:space="0"/>
              <w:right w:val="single" w:color="D7DEE5" w:sz="6" w:space="0"/>
              <w:insideH w:val="single" w:color="D7DEE5" w:sz="6" w:space="0"/>
              <w:insideV w:val="single" w:color="D7DEE5" w:sz="6" w:space="0"/>
            </w:tcBorders>
            <w:vAlign w:val="center"/>
          </w:tcPr>
          <w:p w14:paraId="00100018" w14:textId="00100019"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Продукт 3</w:t>
            </w:r>
          </w:p>
        </w:tc>
        <w:tc>
          <w:tcPr>
            <w:tcW w:w="1814" w:type="dxa"/>
            <w:shd w:fill="163247"/>
            <w:tcBorders>
              <w:top w:val="single" w:color="D7DEE5" w:sz="6" w:space="0"/>
              <w:left w:val="single" w:color="D7DEE5" w:sz="6" w:space="0"/>
              <w:bottom w:val="single" w:color="D7DEE5" w:sz="6" w:space="0"/>
              <w:right w:val="single" w:color="D7DEE5" w:sz="6" w:space="0"/>
              <w:insideH w:val="single" w:color="D7DEE5" w:sz="6" w:space="0"/>
              <w:insideV w:val="single" w:color="D7DEE5" w:sz="6" w:space="0"/>
            </w:tcBorders>
            <w:vAlign w:val="center"/>
          </w:tcPr>
          <w:p w14:paraId="0010001A" w14:textId="0010001B"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Продукт 4</w:t>
            </w:r>
          </w:p>
        </w:tc>
      </w:tr>
      <w:tr>
        <w:tc>
          <w:tcPr>
            <w:tcW w:w="1814" w:type="dxa"/>
            <w:shd w:fill="FFFFFF"/>
            <w:tcBorders>
              <w:top w:val="single" w:color="D7DEE5" w:sz="4" w:space="0"/>
              <w:left w:val="single" w:color="D7DEE5" w:sz="4" w:space="0"/>
              <w:bottom w:val="single" w:color="D7DEE5" w:sz="4" w:space="0"/>
              <w:right w:val="single" w:color="D7DEE5" w:sz="4" w:space="0"/>
              <w:insideH w:val="single" w:color="D7DEE5" w:sz="4" w:space="0"/>
              <w:insideV w:val="single" w:color="D7DEE5" w:sz="4" w:space="0"/>
            </w:tcBorders>
            <w:vAlign w:val="center"/>
          </w:tcPr>
          <w:p w14:paraId="0010001C" w14:textId="0010001D"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Презентация → Стратегический разговор</w:t>
            </w:r>
          </w:p>
        </w:tc>
        <w:tc>
          <w:tcPr>
            <w:tcW w:w="1814" w:type="dxa"/>
            <w:shd w:fill="FFFFFF"/>
            <w:tcBorders>
              <w:top w:val="single" w:color="D7DEE5" w:sz="4" w:space="0"/>
              <w:left w:val="single" w:color="D7DEE5" w:sz="4" w:space="0"/>
              <w:bottom w:val="single" w:color="D7DEE5" w:sz="4" w:space="0"/>
              <w:right w:val="single" w:color="D7DEE5" w:sz="4" w:space="0"/>
              <w:insideH w:val="single" w:color="D7DEE5" w:sz="4" w:space="0"/>
              <w:insideV w:val="single" w:color="D7DEE5" w:sz="4" w:space="0"/>
            </w:tcBorders>
            <w:vAlign w:val="center"/>
          </w:tcPr>
          <w:p w14:paraId="0010001E" w14:textId="0010001F"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Диагностика: платный вход и вердикт</w:t>
            </w:r>
          </w:p>
        </w:tc>
        <w:tc>
          <w:tcPr>
            <w:tcW w:w="1814" w:type="dxa"/>
            <w:shd w:fill="FFFFFF"/>
            <w:tcBorders>
              <w:top w:val="single" w:color="D7DEE5" w:sz="4" w:space="0"/>
              <w:left w:val="single" w:color="D7DEE5" w:sz="4" w:space="0"/>
              <w:bottom w:val="single" w:color="D7DEE5" w:sz="4" w:space="0"/>
              <w:right w:val="single" w:color="D7DEE5" w:sz="4" w:space="0"/>
              <w:insideH w:val="single" w:color="D7DEE5" w:sz="4" w:space="0"/>
              <w:insideV w:val="single" w:color="D7DEE5" w:sz="4" w:space="0"/>
            </w:tcBorders>
            <w:vAlign w:val="center"/>
          </w:tcPr>
          <w:p w14:paraId="00100020" w14:textId="00100021"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Сессия: активный набор решений</w:t>
            </w:r>
          </w:p>
        </w:tc>
        <w:tc>
          <w:tcPr>
            <w:tcW w:w="1814" w:type="dxa"/>
            <w:shd w:fill="FFFFFF"/>
            <w:tcBorders>
              <w:top w:val="single" w:color="D7DEE5" w:sz="4" w:space="0"/>
              <w:left w:val="single" w:color="D7DEE5" w:sz="4" w:space="0"/>
              <w:bottom w:val="single" w:color="D7DEE5" w:sz="4" w:space="0"/>
              <w:right w:val="single" w:color="D7DEE5" w:sz="4" w:space="0"/>
              <w:insideH w:val="single" w:color="D7DEE5" w:sz="4" w:space="0"/>
              <w:insideV w:val="single" w:color="D7DEE5" w:sz="4" w:space="0"/>
            </w:tcBorders>
            <w:vAlign w:val="center"/>
          </w:tcPr>
          <w:p w14:paraId="00100022" w14:textId="00100023"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Спринт: реализованный проект</w:t>
            </w:r>
          </w:p>
        </w:tc>
        <w:tc>
          <w:tcPr>
            <w:tcW w:w="1814" w:type="dxa"/>
            <w:shd w:fill="FFFFFF"/>
            <w:tcBorders>
              <w:top w:val="single" w:color="D7DEE5" w:sz="4" w:space="0"/>
              <w:left w:val="single" w:color="D7DEE5" w:sz="4" w:space="0"/>
              <w:bottom w:val="single" w:color="D7DEE5" w:sz="4" w:space="0"/>
              <w:right w:val="single" w:color="D7DEE5" w:sz="4" w:space="0"/>
              <w:insideH w:val="single" w:color="D7DEE5" w:sz="4" w:space="0"/>
              <w:insideV w:val="single" w:color="D7DEE5" w:sz="4" w:space="0"/>
            </w:tcBorders>
            <w:vAlign w:val="center"/>
          </w:tcPr>
          <w:p w14:paraId="00100024" w14:textId="00100025"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Сопровождение: удержание результата</w:t>
            </w:r>
          </w:p>
        </w:tc>
      </w:tr>
    </w:tbl>
    <w:p w14:paraId="00100026" w14:textId="00100027">
      <w:pPr>
        <w:spacing w:after="40" w:line="259" w:lineRule="auto"/>
      </w:pPr>
      <w:r>
        <w:rPr>
          <w:rFonts w:ascii="Arial" w:hAnsi="Arial" w:eastAsia="Arial"/>
          <w:b w:val="0"/>
          <w:color w:val="1F2937"/>
          <w:sz w:val="20"/>
        </w:rPr>
      </w:r>
    </w:p>
    <w:p w14:paraId="00100028" w14:textId="00100029">
      <w:r>
        <w:br w:type="page"/>
      </w:r>
    </w:p>
    <w:p w14:paraId="0010002A" w14:textId="0010002B">
      <w:pPr>
        <w:spacing w:before="240" w:after="140"/>
      </w:pPr>
      <w:r>
        <w:rPr>
          <w:rFonts w:ascii="Arial" w:hAnsi="Arial" w:eastAsia="Arial"/>
          <w:b/>
          <w:color w:val="163247"/>
          <w:sz w:val="32"/>
        </w:rPr>
        <w:t>2. Карта продуктов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w="1531" w:type="dxa"/>
            <w:shd w:fill="1F4E79"/>
            <w:tcBorders>
              <w:top w:val="single" w:color="D7DEE5" w:sz="6" w:space="0"/>
              <w:left w:val="single" w:color="D7DEE5" w:sz="6" w:space="0"/>
              <w:bottom w:val="single" w:color="D7DEE5" w:sz="6" w:space="0"/>
              <w:right w:val="single" w:color="D7DEE5" w:sz="6" w:space="0"/>
              <w:insideH w:val="single" w:color="D7DEE5" w:sz="6" w:space="0"/>
              <w:insideV w:val="single" w:color="D7DEE5" w:sz="6" w:space="0"/>
            </w:tcBorders>
            <w:vAlign w:val="center"/>
          </w:tcPr>
          <w:p w14:paraId="0010002C" w14:textId="0010002D"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Продукт</w:t>
            </w:r>
          </w:p>
        </w:tc>
        <w:tc>
          <w:tcPr>
            <w:tcW w:w="2098" w:type="dxa"/>
            <w:shd w:fill="1F4E79"/>
            <w:tcBorders>
              <w:top w:val="single" w:color="D7DEE5" w:sz="6" w:space="0"/>
              <w:left w:val="single" w:color="D7DEE5" w:sz="6" w:space="0"/>
              <w:bottom w:val="single" w:color="D7DEE5" w:sz="6" w:space="0"/>
              <w:right w:val="single" w:color="D7DEE5" w:sz="6" w:space="0"/>
              <w:insideH w:val="single" w:color="D7DEE5" w:sz="6" w:space="0"/>
              <w:insideV w:val="single" w:color="D7DEE5" w:sz="6" w:space="0"/>
            </w:tcBorders>
            <w:vAlign w:val="center"/>
          </w:tcPr>
          <w:p w14:paraId="0010002E" w14:textId="0010002F"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Когда запускать</w:t>
            </w:r>
          </w:p>
        </w:tc>
        <w:tc>
          <w:tcPr>
            <w:tcW w:w="2268" w:type="dxa"/>
            <w:shd w:fill="1F4E79"/>
            <w:tcBorders>
              <w:top w:val="single" w:color="D7DEE5" w:sz="6" w:space="0"/>
              <w:left w:val="single" w:color="D7DEE5" w:sz="6" w:space="0"/>
              <w:bottom w:val="single" w:color="D7DEE5" w:sz="6" w:space="0"/>
              <w:right w:val="single" w:color="D7DEE5" w:sz="6" w:space="0"/>
              <w:insideH w:val="single" w:color="D7DEE5" w:sz="6" w:space="0"/>
              <w:insideV w:val="single" w:color="D7DEE5" w:sz="6" w:space="0"/>
            </w:tcBorders>
            <w:vAlign w:val="center"/>
          </w:tcPr>
          <w:p w14:paraId="00100030" w14:textId="00100031"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Что делает</w:t>
            </w:r>
          </w:p>
        </w:tc>
        <w:tc>
          <w:tcPr>
            <w:tcW w:w="2324" w:type="dxa"/>
            <w:shd w:fill="1F4E79"/>
            <w:tcBorders>
              <w:top w:val="single" w:color="D7DEE5" w:sz="6" w:space="0"/>
              <w:left w:val="single" w:color="D7DEE5" w:sz="6" w:space="0"/>
              <w:bottom w:val="single" w:color="D7DEE5" w:sz="6" w:space="0"/>
              <w:right w:val="single" w:color="D7DEE5" w:sz="6" w:space="0"/>
              <w:insideH w:val="single" w:color="D7DEE5" w:sz="6" w:space="0"/>
              <w:insideV w:val="single" w:color="D7DEE5" w:sz="6" w:space="0"/>
            </w:tcBorders>
            <w:vAlign w:val="center"/>
          </w:tcPr>
          <w:p w14:paraId="00100032" w14:textId="00100033"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Что является выходом</w:t>
            </w:r>
          </w:p>
        </w:tc>
        <w:tc>
          <w:tcPr>
            <w:tcW w:w="2098" w:type="dxa"/>
            <w:shd w:fill="1F4E79"/>
            <w:tcBorders>
              <w:top w:val="single" w:color="D7DEE5" w:sz="6" w:space="0"/>
              <w:left w:val="single" w:color="D7DEE5" w:sz="6" w:space="0"/>
              <w:bottom w:val="single" w:color="D7DEE5" w:sz="6" w:space="0"/>
              <w:right w:val="single" w:color="D7DEE5" w:sz="6" w:space="0"/>
              <w:insideH w:val="single" w:color="D7DEE5" w:sz="6" w:space="0"/>
              <w:insideV w:val="single" w:color="D7DEE5" w:sz="6" w:space="0"/>
            </w:tcBorders>
            <w:vAlign w:val="center"/>
          </w:tcPr>
          <w:p w14:paraId="00100034" w14:textId="00100035"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Что запрещено</w:t>
            </w:r>
          </w:p>
        </w:tc>
      </w:tr>
      <w:tr>
        <w:tc>
          <w:tcPr>
            <w:tcW w:w="1531" w:type="dxa"/>
            <w:shd w:fill="FFFFFF"/>
            <w:tcBorders>
              <w:top w:val="single" w:color="D7DEE5" w:sz="4" w:space="0"/>
              <w:left w:val="single" w:color="D7DEE5" w:sz="4" w:space="0"/>
              <w:bottom w:val="single" w:color="D7DEE5" w:sz="4" w:space="0"/>
              <w:right w:val="single" w:color="D7DEE5" w:sz="4" w:space="0"/>
              <w:insideH w:val="single" w:color="D7DEE5" w:sz="4" w:space="0"/>
              <w:insideV w:val="single" w:color="D7DEE5" w:sz="4" w:space="0"/>
            </w:tcBorders>
            <w:vAlign w:val="center"/>
          </w:tcPr>
          <w:p w14:paraId="00100036" w14:textId="00100037"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Диагностика</w:t>
            </w:r>
          </w:p>
        </w:tc>
        <w:tc>
          <w:tcPr>
            <w:tcW w:w="2098" w:type="dxa"/>
            <w:shd w:fill="FFFFFF"/>
            <w:tcBorders>
              <w:top w:val="single" w:color="D7DEE5" w:sz="4" w:space="0"/>
              <w:left w:val="single" w:color="D7DEE5" w:sz="4" w:space="0"/>
              <w:bottom w:val="single" w:color="D7DEE5" w:sz="4" w:space="0"/>
              <w:right w:val="single" w:color="D7DEE5" w:sz="4" w:space="0"/>
              <w:insideH w:val="single" w:color="D7DEE5" w:sz="4" w:space="0"/>
              <w:insideV w:val="single" w:color="D7DEE5" w:sz="4" w:space="0"/>
            </w:tcBorders>
            <w:vAlign w:val="center"/>
          </w:tcPr>
          <w:p w14:paraId="00100038" w14:textId="00100039"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Есть боль, ЛПР, доступ к CEO / генеральному директору, владельцу или Board / совету директоров.</w:t>
            </w:r>
          </w:p>
        </w:tc>
        <w:tc>
          <w:tcPr>
            <w:tcW w:w="2268" w:type="dxa"/>
            <w:shd w:fill="FFFFFF"/>
            <w:tcBorders>
              <w:top w:val="single" w:color="D7DEE5" w:sz="4" w:space="0"/>
              <w:left w:val="single" w:color="D7DEE5" w:sz="4" w:space="0"/>
              <w:bottom w:val="single" w:color="D7DEE5" w:sz="4" w:space="0"/>
              <w:right w:val="single" w:color="D7DEE5" w:sz="4" w:space="0"/>
              <w:insideH w:val="single" w:color="D7DEE5" w:sz="4" w:space="0"/>
              <w:insideV w:val="single" w:color="D7DEE5" w:sz="4" w:space="0"/>
            </w:tcBorders>
            <w:vAlign w:val="center"/>
          </w:tcPr>
          <w:p w14:paraId="0010003A" w14:textId="0010003B"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Проверяет роли, мандаты, решения, данные, разрывы и право продолжать.</w:t>
            </w:r>
          </w:p>
        </w:tc>
        <w:tc>
          <w:tcPr>
            <w:tcW w:w="2324" w:type="dxa"/>
            <w:shd w:fill="FFFFFF"/>
            <w:tcBorders>
              <w:top w:val="single" w:color="D7DEE5" w:sz="4" w:space="0"/>
              <w:left w:val="single" w:color="D7DEE5" w:sz="4" w:space="0"/>
              <w:bottom w:val="single" w:color="D7DEE5" w:sz="4" w:space="0"/>
              <w:right w:val="single" w:color="D7DEE5" w:sz="4" w:space="0"/>
              <w:insideH w:val="single" w:color="D7DEE5" w:sz="4" w:space="0"/>
              <w:insideV w:val="single" w:color="D7DEE5" w:sz="4" w:space="0"/>
            </w:tcBorders>
            <w:vAlign w:val="center"/>
          </w:tcPr>
          <w:p w14:paraId="0010003C" w14:textId="0010003D"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Вердикт: продолжать, продолжать при условиях, отложить или отказать.</w:t>
            </w:r>
          </w:p>
        </w:tc>
        <w:tc>
          <w:tcPr>
            <w:tcW w:w="2098" w:type="dxa"/>
            <w:shd w:fill="FFFFFF"/>
            <w:tcBorders>
              <w:top w:val="single" w:color="D7DEE5" w:sz="4" w:space="0"/>
              <w:left w:val="single" w:color="D7DEE5" w:sz="4" w:space="0"/>
              <w:bottom w:val="single" w:color="D7DEE5" w:sz="4" w:space="0"/>
              <w:right w:val="single" w:color="D7DEE5" w:sz="4" w:space="0"/>
              <w:insideH w:val="single" w:color="D7DEE5" w:sz="4" w:space="0"/>
              <w:insideV w:val="single" w:color="D7DEE5" w:sz="4" w:space="0"/>
            </w:tcBorders>
            <w:vAlign w:val="center"/>
          </w:tcPr>
          <w:p w14:paraId="0010003E" w14:textId="0010003F"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Начинать бесплатно или без права на честный вывод.</w:t>
            </w:r>
          </w:p>
        </w:tc>
      </w:tr>
      <w:tr>
        <w:tc>
          <w:tcPr>
            <w:tcW w:w="1531" w:type="dxa"/>
            <w:shd w:fill="F3F5F7"/>
            <w:tcBorders>
              <w:top w:val="single" w:color="D7DEE5" w:sz="4" w:space="0"/>
              <w:left w:val="single" w:color="D7DEE5" w:sz="4" w:space="0"/>
              <w:bottom w:val="single" w:color="D7DEE5" w:sz="4" w:space="0"/>
              <w:right w:val="single" w:color="D7DEE5" w:sz="4" w:space="0"/>
              <w:insideH w:val="single" w:color="D7DEE5" w:sz="4" w:space="0"/>
              <w:insideV w:val="single" w:color="D7DEE5" w:sz="4" w:space="0"/>
            </w:tcBorders>
            <w:vAlign w:val="center"/>
          </w:tcPr>
          <w:p w14:paraId="00100040" w14:textId="00100041"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Сессия</w:t>
            </w:r>
          </w:p>
        </w:tc>
        <w:tc>
          <w:tcPr>
            <w:tcW w:w="2098" w:type="dxa"/>
            <w:shd w:fill="F3F5F7"/>
            <w:tcBorders>
              <w:top w:val="single" w:color="D7DEE5" w:sz="4" w:space="0"/>
              <w:left w:val="single" w:color="D7DEE5" w:sz="4" w:space="0"/>
              <w:bottom w:val="single" w:color="D7DEE5" w:sz="4" w:space="0"/>
              <w:right w:val="single" w:color="D7DEE5" w:sz="4" w:space="0"/>
              <w:insideH w:val="single" w:color="D7DEE5" w:sz="4" w:space="0"/>
              <w:insideV w:val="single" w:color="D7DEE5" w:sz="4" w:space="0"/>
            </w:tcBorders>
            <w:vAlign w:val="center"/>
          </w:tcPr>
          <w:p w14:paraId="00100042" w14:textId="00100043"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Диагностика дала GO / запускать или GO при условиях.</w:t>
            </w:r>
          </w:p>
        </w:tc>
        <w:tc>
          <w:tcPr>
            <w:tcW w:w="2268" w:type="dxa"/>
            <w:shd w:fill="F3F5F7"/>
            <w:tcBorders>
              <w:top w:val="single" w:color="D7DEE5" w:sz="4" w:space="0"/>
              <w:left w:val="single" w:color="D7DEE5" w:sz="4" w:space="0"/>
              <w:bottom w:val="single" w:color="D7DEE5" w:sz="4" w:space="0"/>
              <w:right w:val="single" w:color="D7DEE5" w:sz="4" w:space="0"/>
              <w:insideH w:val="single" w:color="D7DEE5" w:sz="4" w:space="0"/>
              <w:insideV w:val="single" w:color="D7DEE5" w:sz="4" w:space="0"/>
            </w:tcBorders>
            <w:vAlign w:val="center"/>
          </w:tcPr>
          <w:p w14:paraId="00100044" w14:textId="00100045"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Сужает выводы до активного набора решений и владельцев.</w:t>
            </w:r>
          </w:p>
        </w:tc>
        <w:tc>
          <w:tcPr>
            <w:tcW w:w="2324" w:type="dxa"/>
            <w:shd w:fill="F3F5F7"/>
            <w:tcBorders>
              <w:top w:val="single" w:color="D7DEE5" w:sz="4" w:space="0"/>
              <w:left w:val="single" w:color="D7DEE5" w:sz="4" w:space="0"/>
              <w:bottom w:val="single" w:color="D7DEE5" w:sz="4" w:space="0"/>
              <w:right w:val="single" w:color="D7DEE5" w:sz="4" w:space="0"/>
              <w:insideH w:val="single" w:color="D7DEE5" w:sz="4" w:space="0"/>
              <w:insideV w:val="single" w:color="D7DEE5" w:sz="4" w:space="0"/>
            </w:tcBorders>
            <w:vAlign w:val="center"/>
          </w:tcPr>
          <w:p w14:paraId="00100046" w14:textId="00100047"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Паспорт Спринта: цель, граница, владельцы, метрики, стоп-условия.</w:t>
            </w:r>
          </w:p>
        </w:tc>
        <w:tc>
          <w:tcPr>
            <w:tcW w:w="2098" w:type="dxa"/>
            <w:shd w:fill="F3F5F7"/>
            <w:tcBorders>
              <w:top w:val="single" w:color="D7DEE5" w:sz="4" w:space="0"/>
              <w:left w:val="single" w:color="D7DEE5" w:sz="4" w:space="0"/>
              <w:bottom w:val="single" w:color="D7DEE5" w:sz="4" w:space="0"/>
              <w:right w:val="single" w:color="D7DEE5" w:sz="4" w:space="0"/>
              <w:insideH w:val="single" w:color="D7DEE5" w:sz="4" w:space="0"/>
              <w:insideV w:val="single" w:color="D7DEE5" w:sz="4" w:space="0"/>
            </w:tcBorders>
            <w:vAlign w:val="center"/>
          </w:tcPr>
          <w:p w14:paraId="00100048" w14:textId="00100049"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Открывать заново всю диагностику и обсуждать все проблемы.</w:t>
            </w:r>
          </w:p>
        </w:tc>
      </w:tr>
      <w:tr>
        <w:tc>
          <w:tcPr>
            <w:tcW w:w="1531" w:type="dxa"/>
            <w:shd w:fill="FFFFFF"/>
            <w:tcBorders>
              <w:top w:val="single" w:color="D7DEE5" w:sz="4" w:space="0"/>
              <w:left w:val="single" w:color="D7DEE5" w:sz="4" w:space="0"/>
              <w:bottom w:val="single" w:color="D7DEE5" w:sz="4" w:space="0"/>
              <w:right w:val="single" w:color="D7DEE5" w:sz="4" w:space="0"/>
              <w:insideH w:val="single" w:color="D7DEE5" w:sz="4" w:space="0"/>
              <w:insideV w:val="single" w:color="D7DEE5" w:sz="4" w:space="0"/>
            </w:tcBorders>
            <w:vAlign w:val="center"/>
          </w:tcPr>
          <w:p w14:paraId="0010004A" w14:textId="0010004B"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Спринт</w:t>
            </w:r>
          </w:p>
        </w:tc>
        <w:tc>
          <w:tcPr>
            <w:tcW w:w="2098" w:type="dxa"/>
            <w:shd w:fill="FFFFFF"/>
            <w:tcBorders>
              <w:top w:val="single" w:color="D7DEE5" w:sz="4" w:space="0"/>
              <w:left w:val="single" w:color="D7DEE5" w:sz="4" w:space="0"/>
              <w:bottom w:val="single" w:color="D7DEE5" w:sz="4" w:space="0"/>
              <w:right w:val="single" w:color="D7DEE5" w:sz="4" w:space="0"/>
              <w:insideH w:val="single" w:color="D7DEE5" w:sz="4" w:space="0"/>
              <w:insideV w:val="single" w:color="D7DEE5" w:sz="4" w:space="0"/>
            </w:tcBorders>
            <w:vAlign w:val="center"/>
          </w:tcPr>
          <w:p w14:paraId="0010004C" w14:textId="0010004D"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Есть паспорт Спринта, владелец эффекта, владелец решения и владелец данных.</w:t>
            </w:r>
          </w:p>
        </w:tc>
        <w:tc>
          <w:tcPr>
            <w:tcW w:w="2268" w:type="dxa"/>
            <w:shd w:fill="FFFFFF"/>
            <w:tcBorders>
              <w:top w:val="single" w:color="D7DEE5" w:sz="4" w:space="0"/>
              <w:left w:val="single" w:color="D7DEE5" w:sz="4" w:space="0"/>
              <w:bottom w:val="single" w:color="D7DEE5" w:sz="4" w:space="0"/>
              <w:right w:val="single" w:color="D7DEE5" w:sz="4" w:space="0"/>
              <w:insideH w:val="single" w:color="D7DEE5" w:sz="4" w:space="0"/>
              <w:insideV w:val="single" w:color="D7DEE5" w:sz="4" w:space="0"/>
            </w:tcBorders>
            <w:vAlign w:val="center"/>
          </w:tcPr>
          <w:p w14:paraId="0010004E" w14:textId="0010004F"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Доводит выбранное решение до внедренного артефакта или управленческого ритма.</w:t>
            </w:r>
          </w:p>
        </w:tc>
        <w:tc>
          <w:tcPr>
            <w:tcW w:w="2324" w:type="dxa"/>
            <w:shd w:fill="FFFFFF"/>
            <w:tcBorders>
              <w:top w:val="single" w:color="D7DEE5" w:sz="4" w:space="0"/>
              <w:left w:val="single" w:color="D7DEE5" w:sz="4" w:space="0"/>
              <w:bottom w:val="single" w:color="D7DEE5" w:sz="4" w:space="0"/>
              <w:right w:val="single" w:color="D7DEE5" w:sz="4" w:space="0"/>
              <w:insideH w:val="single" w:color="D7DEE5" w:sz="4" w:space="0"/>
              <w:insideV w:val="single" w:color="D7DEE5" w:sz="4" w:space="0"/>
            </w:tcBorders>
            <w:vAlign w:val="center"/>
          </w:tcPr>
          <w:p w14:paraId="00100050" w14:textId="00100051"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Реализованный проект, итоговый отчет, объект для удержания.</w:t>
            </w:r>
          </w:p>
        </w:tc>
        <w:tc>
          <w:tcPr>
            <w:tcW w:w="2098" w:type="dxa"/>
            <w:shd w:fill="FFFFFF"/>
            <w:tcBorders>
              <w:top w:val="single" w:color="D7DEE5" w:sz="4" w:space="0"/>
              <w:left w:val="single" w:color="D7DEE5" w:sz="4" w:space="0"/>
              <w:bottom w:val="single" w:color="D7DEE5" w:sz="4" w:space="0"/>
              <w:right w:val="single" w:color="D7DEE5" w:sz="4" w:space="0"/>
              <w:insideH w:val="single" w:color="D7DEE5" w:sz="4" w:space="0"/>
              <w:insideV w:val="single" w:color="D7DEE5" w:sz="4" w:space="0"/>
            </w:tcBorders>
            <w:vAlign w:val="center"/>
          </w:tcPr>
          <w:p w14:paraId="00100052" w14:textId="00100053"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Считать результатом план, протокол или встречу без внедрения.</w:t>
            </w:r>
          </w:p>
        </w:tc>
      </w:tr>
      <w:tr>
        <w:tc>
          <w:tcPr>
            <w:tcW w:w="1531" w:type="dxa"/>
            <w:shd w:fill="F3F5F7"/>
            <w:tcBorders>
              <w:top w:val="single" w:color="D7DEE5" w:sz="4" w:space="0"/>
              <w:left w:val="single" w:color="D7DEE5" w:sz="4" w:space="0"/>
              <w:bottom w:val="single" w:color="D7DEE5" w:sz="4" w:space="0"/>
              <w:right w:val="single" w:color="D7DEE5" w:sz="4" w:space="0"/>
              <w:insideH w:val="single" w:color="D7DEE5" w:sz="4" w:space="0"/>
              <w:insideV w:val="single" w:color="D7DEE5" w:sz="4" w:space="0"/>
            </w:tcBorders>
            <w:vAlign w:val="center"/>
          </w:tcPr>
          <w:p w14:paraId="00100054" w14:textId="00100055"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Сопровождение</w:t>
            </w:r>
          </w:p>
        </w:tc>
        <w:tc>
          <w:tcPr>
            <w:tcW w:w="2098" w:type="dxa"/>
            <w:shd w:fill="F3F5F7"/>
            <w:tcBorders>
              <w:top w:val="single" w:color="D7DEE5" w:sz="4" w:space="0"/>
              <w:left w:val="single" w:color="D7DEE5" w:sz="4" w:space="0"/>
              <w:bottom w:val="single" w:color="D7DEE5" w:sz="4" w:space="0"/>
              <w:right w:val="single" w:color="D7DEE5" w:sz="4" w:space="0"/>
              <w:insideH w:val="single" w:color="D7DEE5" w:sz="4" w:space="0"/>
              <w:insideV w:val="single" w:color="D7DEE5" w:sz="4" w:space="0"/>
            </w:tcBorders>
            <w:vAlign w:val="center"/>
          </w:tcPr>
          <w:p w14:paraId="00100056" w14:textId="00100057"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Спринт завершен, есть результат, который надо удержать.</w:t>
            </w:r>
          </w:p>
        </w:tc>
        <w:tc>
          <w:tcPr>
            <w:tcW w:w="2268" w:type="dxa"/>
            <w:shd w:fill="F3F5F7"/>
            <w:tcBorders>
              <w:top w:val="single" w:color="D7DEE5" w:sz="4" w:space="0"/>
              <w:left w:val="single" w:color="D7DEE5" w:sz="4" w:space="0"/>
              <w:bottom w:val="single" w:color="D7DEE5" w:sz="4" w:space="0"/>
              <w:right w:val="single" w:color="D7DEE5" w:sz="4" w:space="0"/>
              <w:insideH w:val="single" w:color="D7DEE5" w:sz="4" w:space="0"/>
              <w:insideV w:val="single" w:color="D7DEE5" w:sz="4" w:space="0"/>
            </w:tcBorders>
            <w:vAlign w:val="center"/>
          </w:tcPr>
          <w:p w14:paraId="00100058" w14:textId="00100059"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Проверяет отклонения, корректирует решение, фиксирует следующий цикл.</w:t>
            </w:r>
          </w:p>
        </w:tc>
        <w:tc>
          <w:tcPr>
            <w:tcW w:w="2324" w:type="dxa"/>
            <w:shd w:fill="F3F5F7"/>
            <w:tcBorders>
              <w:top w:val="single" w:color="D7DEE5" w:sz="4" w:space="0"/>
              <w:left w:val="single" w:color="D7DEE5" w:sz="4" w:space="0"/>
              <w:bottom w:val="single" w:color="D7DEE5" w:sz="4" w:space="0"/>
              <w:right w:val="single" w:color="D7DEE5" w:sz="4" w:space="0"/>
              <w:insideH w:val="single" w:color="D7DEE5" w:sz="4" w:space="0"/>
              <w:insideV w:val="single" w:color="D7DEE5" w:sz="4" w:space="0"/>
            </w:tcBorders>
            <w:vAlign w:val="center"/>
          </w:tcPr>
          <w:p w14:paraId="0010005A" w14:textId="0010005B"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Решение: удерживать, корректировать, масштабировать, завершить или вернуться в цикл.</w:t>
            </w:r>
          </w:p>
        </w:tc>
        <w:tc>
          <w:tcPr>
            <w:tcW w:w="2098" w:type="dxa"/>
            <w:shd w:fill="F3F5F7"/>
            <w:tcBorders>
              <w:top w:val="single" w:color="D7DEE5" w:sz="4" w:space="0"/>
              <w:left w:val="single" w:color="D7DEE5" w:sz="4" w:space="0"/>
              <w:bottom w:val="single" w:color="D7DEE5" w:sz="4" w:space="0"/>
              <w:right w:val="single" w:color="D7DEE5" w:sz="4" w:space="0"/>
              <w:insideH w:val="single" w:color="D7DEE5" w:sz="4" w:space="0"/>
              <w:insideV w:val="single" w:color="D7DEE5" w:sz="4" w:space="0"/>
            </w:tcBorders>
            <w:vAlign w:val="center"/>
          </w:tcPr>
          <w:p w14:paraId="0010005C" w14:textId="0010005D"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Продавать как абонентское консультирование без объекта контроля.</w:t>
            </w:r>
          </w:p>
        </w:tc>
      </w:tr>
    </w:tbl>
    <w:p w14:paraId="0010005E" w14:textId="0010005F">
      <w:pPr>
        <w:spacing w:after="40" w:line="259" w:lineRule="auto"/>
      </w:pPr>
      <w:r>
        <w:rPr>
          <w:rFonts w:ascii="Arial" w:hAnsi="Arial" w:eastAsia="Arial"/>
          <w:b w:val="0"/>
          <w:color w:val="1F2937"/>
          <w:sz w:val="20"/>
        </w:rPr>
      </w:r>
    </w:p>
    <w:p w14:paraId="00100060" w14:textId="00100061">
      <w:pPr>
        <w:spacing w:before="240" w:after="140"/>
      </w:pPr>
      <w:r>
        <w:rPr>
          <w:rFonts w:ascii="Arial" w:hAnsi="Arial" w:eastAsia="Arial"/>
          <w:b/>
          <w:color w:val="163247"/>
          <w:sz w:val="32"/>
        </w:rPr>
        <w:t>3. Проводимость по продуктам</w:t>
      </w:r>
    </w:p>
    <w:p w14:paraId="00100062" w14:textId="00100063">
      <w:pPr>
        <w:spacing w:before="160" w:after="100"/>
      </w:pPr>
      <w:r>
        <w:rPr>
          <w:rFonts w:ascii="Arial" w:hAnsi="Arial" w:eastAsia="Arial"/>
          <w:b/>
          <w:color w:val="1F4E79"/>
          <w:sz w:val="24"/>
        </w:rPr>
        <w:t>Диагностика</w:t>
      </w:r>
    </w:p>
    <w:p w14:paraId="00100064" w14:textId="00100065">
      <w:pPr>
        <w:spacing w:after="120" w:line="259" w:lineRule="auto"/>
      </w:pPr>
      <w:r>
        <w:rPr>
          <w:rFonts w:ascii="Arial" w:hAnsi="Arial" w:eastAsia="Arial"/>
          <w:b w:val="0"/>
          <w:color w:val="1F2937"/>
          <w:sz w:val="20"/>
        </w:rPr>
        <w:t>Консультант начинает с фиксации запроса, допуска и права на честный вывод. Затем строит карту ролей и мандатов, выявляет разрывы CLM и формирует вердикт. Нормальный результат Диагностики может быть не только Сессия, но и отказ продолжать работу.</w:t>
      </w:r>
    </w:p>
    <w:p w14:paraId="00100066" w14:textId="00100067">
      <w:pPr>
        <w:spacing w:before="160" w:after="100"/>
      </w:pPr>
      <w:r>
        <w:rPr>
          <w:rFonts w:ascii="Arial" w:hAnsi="Arial" w:eastAsia="Arial"/>
          <w:b/>
          <w:color w:val="1F4E79"/>
          <w:sz w:val="24"/>
        </w:rPr>
        <w:t>Сессия</w:t>
      </w:r>
    </w:p>
    <w:p w14:paraId="00100068" w14:textId="00100069">
      <w:pPr>
        <w:spacing w:after="120" w:line="259" w:lineRule="auto"/>
      </w:pPr>
      <w:r>
        <w:rPr>
          <w:rFonts w:ascii="Arial" w:hAnsi="Arial" w:eastAsia="Arial"/>
          <w:b w:val="0"/>
          <w:color w:val="1F2937"/>
          <w:sz w:val="20"/>
        </w:rPr>
        <w:t>Сессия берет только подтвержденные разрывы. Ее задача — не повторить диагностику, а выбрать активный набор решений, назначить владельцев и подготовить паспорт Спринта.</w:t>
      </w:r>
    </w:p>
    <w:p w14:paraId="0010006A" w14:textId="0010006B">
      <w:pPr>
        <w:spacing w:before="160" w:after="100"/>
      </w:pPr>
      <w:r>
        <w:rPr>
          <w:rFonts w:ascii="Arial" w:hAnsi="Arial" w:eastAsia="Arial"/>
          <w:b/>
          <w:color w:val="1F4E79"/>
          <w:sz w:val="24"/>
        </w:rPr>
        <w:t>Спринт</w:t>
      </w:r>
    </w:p>
    <w:p w14:paraId="0010006C" w14:textId="0010006D">
      <w:pPr>
        <w:spacing w:after="120" w:line="259" w:lineRule="auto"/>
      </w:pPr>
      <w:r>
        <w:rPr>
          <w:rFonts w:ascii="Arial" w:hAnsi="Arial" w:eastAsia="Arial"/>
          <w:b w:val="0"/>
          <w:color w:val="1F2937"/>
          <w:sz w:val="20"/>
        </w:rPr>
        <w:t>Спринт является проектом реализации. В нем каждое действие должно двигать решение к артефакту, ритму, панели, книге решений или дорожной карте. Отклонения фиксируются как управленческие решения, а не как комментарии к плану.</w:t>
      </w:r>
    </w:p>
    <w:p w14:paraId="0010006E" w14:textId="0010006F">
      <w:pPr>
        <w:spacing w:before="160" w:after="100"/>
      </w:pPr>
      <w:r>
        <w:rPr>
          <w:rFonts w:ascii="Arial" w:hAnsi="Arial" w:eastAsia="Arial"/>
          <w:b/>
          <w:color w:val="1F4E79"/>
          <w:sz w:val="24"/>
        </w:rPr>
        <w:t>Сопровождение</w:t>
      </w:r>
    </w:p>
    <w:p w14:paraId="00100070" w14:textId="00100071">
      <w:pPr>
        <w:spacing w:after="120" w:line="259" w:lineRule="auto"/>
      </w:pPr>
      <w:r>
        <w:rPr>
          <w:rFonts w:ascii="Arial" w:hAnsi="Arial" w:eastAsia="Arial"/>
          <w:b w:val="0"/>
          <w:color w:val="1F2937"/>
          <w:sz w:val="20"/>
        </w:rPr>
        <w:t>Сопровождение удерживает результат после Спринта. Оно проверяет, держится ли новая управленческая конструкция в реальной работе, и помогает принять решение о корректировке, масштабировании, завершении или новом цикле.</w:t>
      </w:r>
    </w:p>
    <w:p w14:paraId="00100072" w14:textId="00100073">
      <w:r>
        <w:br w:type="page"/>
      </w:r>
    </w:p>
    <w:p w14:paraId="00100074" w14:textId="00100075">
      <w:pPr>
        <w:spacing w:before="240" w:after="140"/>
      </w:pPr>
      <w:r>
        <w:rPr>
          <w:rFonts w:ascii="Arial" w:hAnsi="Arial" w:eastAsia="Arial"/>
          <w:b/>
          <w:color w:val="163247"/>
          <w:sz w:val="32"/>
        </w:rPr>
        <w:t>4. Gate / контрольные переходы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>
        <w:tc>
          <w:tcPr>
            <w:tcW w:w="1984" w:type="dxa"/>
            <w:shd w:fill="1F4E79"/>
            <w:tcBorders>
              <w:top w:val="single" w:color="D7DEE5" w:sz="6" w:space="0"/>
              <w:left w:val="single" w:color="D7DEE5" w:sz="6" w:space="0"/>
              <w:bottom w:val="single" w:color="D7DEE5" w:sz="6" w:space="0"/>
              <w:right w:val="single" w:color="D7DEE5" w:sz="6" w:space="0"/>
              <w:insideH w:val="single" w:color="D7DEE5" w:sz="6" w:space="0"/>
              <w:insideV w:val="single" w:color="D7DEE5" w:sz="6" w:space="0"/>
            </w:tcBorders>
            <w:vAlign w:val="center"/>
          </w:tcPr>
          <w:p w14:paraId="00100076" w14:textId="00100077"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Переход</w:t>
            </w:r>
          </w:p>
        </w:tc>
        <w:tc>
          <w:tcPr>
            <w:tcW w:w="2324" w:type="dxa"/>
            <w:shd w:fill="1F4E79"/>
            <w:tcBorders>
              <w:top w:val="single" w:color="D7DEE5" w:sz="6" w:space="0"/>
              <w:left w:val="single" w:color="D7DEE5" w:sz="6" w:space="0"/>
              <w:bottom w:val="single" w:color="D7DEE5" w:sz="6" w:space="0"/>
              <w:right w:val="single" w:color="D7DEE5" w:sz="6" w:space="0"/>
              <w:insideH w:val="single" w:color="D7DEE5" w:sz="6" w:space="0"/>
              <w:insideV w:val="single" w:color="D7DEE5" w:sz="6" w:space="0"/>
            </w:tcBorders>
            <w:vAlign w:val="center"/>
          </w:tcPr>
          <w:p w14:paraId="00100078" w14:textId="00100079"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Что должно быть готово</w:t>
            </w:r>
          </w:p>
        </w:tc>
        <w:tc>
          <w:tcPr>
            <w:tcW w:w="2835" w:type="dxa"/>
            <w:shd w:fill="1F4E79"/>
            <w:tcBorders>
              <w:top w:val="single" w:color="D7DEE5" w:sz="6" w:space="0"/>
              <w:left w:val="single" w:color="D7DEE5" w:sz="6" w:space="0"/>
              <w:bottom w:val="single" w:color="D7DEE5" w:sz="6" w:space="0"/>
              <w:right w:val="single" w:color="D7DEE5" w:sz="6" w:space="0"/>
              <w:insideH w:val="single" w:color="D7DEE5" w:sz="6" w:space="0"/>
              <w:insideV w:val="single" w:color="D7DEE5" w:sz="6" w:space="0"/>
            </w:tcBorders>
            <w:vAlign w:val="center"/>
          </w:tcPr>
          <w:p w14:paraId="0010007A" w14:textId="0010007B"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Pass / проход</w:t>
            </w:r>
          </w:p>
        </w:tc>
        <w:tc>
          <w:tcPr>
            <w:tcW w:w="2551" w:type="dxa"/>
            <w:shd w:fill="1F4E79"/>
            <w:tcBorders>
              <w:top w:val="single" w:color="D7DEE5" w:sz="6" w:space="0"/>
              <w:left w:val="single" w:color="D7DEE5" w:sz="6" w:space="0"/>
              <w:bottom w:val="single" w:color="D7DEE5" w:sz="6" w:space="0"/>
              <w:right w:val="single" w:color="D7DEE5" w:sz="6" w:space="0"/>
              <w:insideH w:val="single" w:color="D7DEE5" w:sz="6" w:space="0"/>
              <w:insideV w:val="single" w:color="D7DEE5" w:sz="6" w:space="0"/>
            </w:tcBorders>
            <w:vAlign w:val="center"/>
          </w:tcPr>
          <w:p w14:paraId="0010007C" w14:textId="0010007D"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Stop / остановка</w:t>
            </w:r>
          </w:p>
        </w:tc>
      </w:tr>
      <w:tr>
        <w:tc>
          <w:tcPr>
            <w:tcW w:w="1984" w:type="dxa"/>
            <w:shd w:fill="FFFFFF"/>
            <w:tcBorders>
              <w:top w:val="single" w:color="D7DEE5" w:sz="4" w:space="0"/>
              <w:left w:val="single" w:color="D7DEE5" w:sz="4" w:space="0"/>
              <w:bottom w:val="single" w:color="D7DEE5" w:sz="4" w:space="0"/>
              <w:right w:val="single" w:color="D7DEE5" w:sz="4" w:space="0"/>
              <w:insideH w:val="single" w:color="D7DEE5" w:sz="4" w:space="0"/>
              <w:insideV w:val="single" w:color="D7DEE5" w:sz="4" w:space="0"/>
            </w:tcBorders>
            <w:vAlign w:val="center"/>
          </w:tcPr>
          <w:p w14:paraId="0010007E" w14:textId="0010007F"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Коммерческий вход → Диагностика</w:t>
            </w:r>
          </w:p>
        </w:tc>
        <w:tc>
          <w:tcPr>
            <w:tcW w:w="2324" w:type="dxa"/>
            <w:shd w:fill="FFFFFF"/>
            <w:tcBorders>
              <w:top w:val="single" w:color="D7DEE5" w:sz="4" w:space="0"/>
              <w:left w:val="single" w:color="D7DEE5" w:sz="4" w:space="0"/>
              <w:bottom w:val="single" w:color="D7DEE5" w:sz="4" w:space="0"/>
              <w:right w:val="single" w:color="D7DEE5" w:sz="4" w:space="0"/>
              <w:insideH w:val="single" w:color="D7DEE5" w:sz="4" w:space="0"/>
              <w:insideV w:val="single" w:color="D7DEE5" w:sz="4" w:space="0"/>
            </w:tcBorders>
            <w:vAlign w:val="center"/>
          </w:tcPr>
          <w:p w14:paraId="00100080" w14:textId="00100081"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Боль, ЛПР, доступ, согласие на платный вход.</w:t>
            </w:r>
          </w:p>
        </w:tc>
        <w:tc>
          <w:tcPr>
            <w:tcW w:w="2835" w:type="dxa"/>
            <w:shd w:fill="FFFFFF"/>
            <w:tcBorders>
              <w:top w:val="single" w:color="D7DEE5" w:sz="4" w:space="0"/>
              <w:left w:val="single" w:color="D7DEE5" w:sz="4" w:space="0"/>
              <w:bottom w:val="single" w:color="D7DEE5" w:sz="4" w:space="0"/>
              <w:right w:val="single" w:color="D7DEE5" w:sz="4" w:space="0"/>
              <w:insideH w:val="single" w:color="D7DEE5" w:sz="4" w:space="0"/>
              <w:insideV w:val="single" w:color="D7DEE5" w:sz="4" w:space="0"/>
            </w:tcBorders>
            <w:vAlign w:val="center"/>
          </w:tcPr>
          <w:p w14:paraId="00100082" w14:textId="00100083"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Клиент принимает платную диагностику и честный вердикт.</w:t>
            </w:r>
          </w:p>
        </w:tc>
        <w:tc>
          <w:tcPr>
            <w:tcW w:w="2551" w:type="dxa"/>
            <w:shd w:fill="FFFFFF"/>
            <w:tcBorders>
              <w:top w:val="single" w:color="D7DEE5" w:sz="4" w:space="0"/>
              <w:left w:val="single" w:color="D7DEE5" w:sz="4" w:space="0"/>
              <w:bottom w:val="single" w:color="D7DEE5" w:sz="4" w:space="0"/>
              <w:right w:val="single" w:color="D7DEE5" w:sz="4" w:space="0"/>
              <w:insideH w:val="single" w:color="D7DEE5" w:sz="4" w:space="0"/>
              <w:insideV w:val="single" w:color="D7DEE5" w:sz="4" w:space="0"/>
            </w:tcBorders>
            <w:vAlign w:val="center"/>
          </w:tcPr>
          <w:p w14:paraId="00100084" w14:textId="00100085"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Нет мандата, нужен бесплатный аудит или HR-оценка.</w:t>
            </w:r>
          </w:p>
        </w:tc>
      </w:tr>
      <w:tr>
        <w:tc>
          <w:tcPr>
            <w:tcW w:w="1984" w:type="dxa"/>
            <w:shd w:fill="F3F5F7"/>
            <w:tcBorders>
              <w:top w:val="single" w:color="D7DEE5" w:sz="4" w:space="0"/>
              <w:left w:val="single" w:color="D7DEE5" w:sz="4" w:space="0"/>
              <w:bottom w:val="single" w:color="D7DEE5" w:sz="4" w:space="0"/>
              <w:right w:val="single" w:color="D7DEE5" w:sz="4" w:space="0"/>
              <w:insideH w:val="single" w:color="D7DEE5" w:sz="4" w:space="0"/>
              <w:insideV w:val="single" w:color="D7DEE5" w:sz="4" w:space="0"/>
            </w:tcBorders>
            <w:vAlign w:val="center"/>
          </w:tcPr>
          <w:p w14:paraId="00100086" w14:textId="00100087"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Диагностика → Сессия</w:t>
            </w:r>
          </w:p>
        </w:tc>
        <w:tc>
          <w:tcPr>
            <w:tcW w:w="2324" w:type="dxa"/>
            <w:shd w:fill="F3F5F7"/>
            <w:tcBorders>
              <w:top w:val="single" w:color="D7DEE5" w:sz="4" w:space="0"/>
              <w:left w:val="single" w:color="D7DEE5" w:sz="4" w:space="0"/>
              <w:bottom w:val="single" w:color="D7DEE5" w:sz="4" w:space="0"/>
              <w:right w:val="single" w:color="D7DEE5" w:sz="4" w:space="0"/>
              <w:insideH w:val="single" w:color="D7DEE5" w:sz="4" w:space="0"/>
              <w:insideV w:val="single" w:color="D7DEE5" w:sz="4" w:space="0"/>
            </w:tcBorders>
            <w:vAlign w:val="center"/>
          </w:tcPr>
          <w:p w14:paraId="00100088" w14:textId="0010014A">
            <w:pPr/>
            <w:r>
              <w:t xml:space="preserve">Вердикт GO либо GO при условиях после документального закрытия всех условий.</w:t>
            </w:r>
          </w:p>
        </w:tc>
        <w:tc>
          <w:tcPr>
            <w:tcW w:w="2835" w:type="dxa"/>
            <w:shd w:fill="F3F5F7"/>
            <w:tcBorders>
              <w:top w:val="single" w:color="D7DEE5" w:sz="4" w:space="0"/>
              <w:left w:val="single" w:color="D7DEE5" w:sz="4" w:space="0"/>
              <w:bottom w:val="single" w:color="D7DEE5" w:sz="4" w:space="0"/>
              <w:right w:val="single" w:color="D7DEE5" w:sz="4" w:space="0"/>
              <w:insideH w:val="single" w:color="D7DEE5" w:sz="4" w:space="0"/>
              <w:insideV w:val="single" w:color="D7DEE5" w:sz="4" w:space="0"/>
            </w:tcBorders>
            <w:vAlign w:val="center"/>
          </w:tcPr>
          <w:p w14:paraId="0010008A" w14:textId="0010014B">
            <w:pPr/>
            <w:r>
              <w:t xml:space="preserve">Есть подтвержденные разрывы, владелец следующего шага и закрытые условия перехода.</w:t>
            </w:r>
          </w:p>
        </w:tc>
        <w:tc>
          <w:tcPr>
            <w:tcW w:w="2551" w:type="dxa"/>
            <w:shd w:fill="F3F5F7"/>
            <w:tcBorders>
              <w:top w:val="single" w:color="D7DEE5" w:sz="4" w:space="0"/>
              <w:left w:val="single" w:color="D7DEE5" w:sz="4" w:space="0"/>
              <w:bottom w:val="single" w:color="D7DEE5" w:sz="4" w:space="0"/>
              <w:right w:val="single" w:color="D7DEE5" w:sz="4" w:space="0"/>
              <w:insideH w:val="single" w:color="D7DEE5" w:sz="4" w:space="0"/>
              <w:insideV w:val="single" w:color="D7DEE5" w:sz="4" w:space="0"/>
            </w:tcBorders>
            <w:vAlign w:val="center"/>
          </w:tcPr>
          <w:p w14:paraId="0010008C" w14:textId="0010014C">
            <w:pPr/>
            <w:r>
              <w:t xml:space="preserve">HOLD → возврат в Диагностику после восстановления условий; STOP / NO FIT → завершение.</w:t>
            </w:r>
          </w:p>
        </w:tc>
      </w:tr>
      <w:tr>
        <w:tc>
          <w:tcPr>
            <w:tcW w:w="1984" w:type="dxa"/>
            <w:shd w:fill="FFFFFF"/>
            <w:tcBorders>
              <w:top w:val="single" w:color="D7DEE5" w:sz="4" w:space="0"/>
              <w:left w:val="single" w:color="D7DEE5" w:sz="4" w:space="0"/>
              <w:bottom w:val="single" w:color="D7DEE5" w:sz="4" w:space="0"/>
              <w:right w:val="single" w:color="D7DEE5" w:sz="4" w:space="0"/>
              <w:insideH w:val="single" w:color="D7DEE5" w:sz="4" w:space="0"/>
              <w:insideV w:val="single" w:color="D7DEE5" w:sz="4" w:space="0"/>
            </w:tcBorders>
            <w:vAlign w:val="center"/>
          </w:tcPr>
          <w:p w14:paraId="0010008E" w14:textId="0010008F">
            <w:r>
              <w:t>Сессия → выбор способа реализации</w:t>
            </w:r>
          </w:p>
        </w:tc>
        <w:tc>
          <w:tcPr>
            <w:tcW w:w="2324" w:type="dxa"/>
            <w:shd w:fill="FFFFFF"/>
            <w:tcBorders>
              <w:top w:val="single" w:color="D7DEE5" w:sz="4" w:space="0"/>
              <w:left w:val="single" w:color="D7DEE5" w:sz="4" w:space="0"/>
              <w:bottom w:val="single" w:color="D7DEE5" w:sz="4" w:space="0"/>
              <w:right w:val="single" w:color="D7DEE5" w:sz="4" w:space="0"/>
              <w:insideH w:val="single" w:color="D7DEE5" w:sz="4" w:space="0"/>
              <w:insideV w:val="single" w:color="D7DEE5" w:sz="4" w:space="0"/>
            </w:tcBorders>
            <w:vAlign w:val="center"/>
          </w:tcPr>
          <w:p w14:paraId="00100090" w14:textId="0010014D">
            <w:pPr/>
            <w:r>
              <w:t xml:space="preserve">Полный Паспорт Спринта: активный контур, владельцы, данные, метрики, условия запуска и остановки.</w:t>
            </w:r>
          </w:p>
        </w:tc>
        <w:tc>
          <w:tcPr>
            <w:tcW w:w="2835" w:type="dxa"/>
            <w:shd w:fill="FFFFFF"/>
            <w:tcBorders>
              <w:top w:val="single" w:color="D7DEE5" w:sz="4" w:space="0"/>
              <w:left w:val="single" w:color="D7DEE5" w:sz="4" w:space="0"/>
              <w:bottom w:val="single" w:color="D7DEE5" w:sz="4" w:space="0"/>
              <w:right w:val="single" w:color="D7DEE5" w:sz="4" w:space="0"/>
              <w:insideH w:val="single" w:color="D7DEE5" w:sz="4" w:space="0"/>
              <w:insideV w:val="single" w:color="D7DEE5" w:sz="4" w:space="0"/>
            </w:tcBorders>
            <w:vAlign w:val="center"/>
          </w:tcPr>
          <w:p w14:paraId="00100092" w14:textId="0010014E">
            <w:pPr/>
            <w:r>
              <w:t>Паспорт утвержден → заказчик выбирает Спринт с консультантом или самостоятельную реализацию по Паспорту. Прямой переход в Сопровождение запрещен.</w:t>
            </w:r>
          </w:p>
        </w:tc>
        <w:tc>
          <w:tcPr>
            <w:tcW w:w="2551" w:type="dxa"/>
            <w:shd w:fill="FFFFFF"/>
            <w:tcBorders>
              <w:top w:val="single" w:color="D7DEE5" w:sz="4" w:space="0"/>
              <w:left w:val="single" w:color="D7DEE5" w:sz="4" w:space="0"/>
              <w:bottom w:val="single" w:color="D7DEE5" w:sz="4" w:space="0"/>
              <w:right w:val="single" w:color="D7DEE5" w:sz="4" w:space="0"/>
              <w:insideH w:val="single" w:color="D7DEE5" w:sz="4" w:space="0"/>
              <w:insideV w:val="single" w:color="D7DEE5" w:sz="4" w:space="0"/>
            </w:tcBorders>
            <w:vAlign w:val="center"/>
          </w:tcPr>
          <w:p w14:paraId="00100094" w14:textId="0010014F">
            <w:pPr/>
            <w:r>
              <w:t xml:space="preserve">Паспорт не готов → доработка в Сессии; обязательный блокер → STOP. Прямой переход в Сопровождение запрещен.</w:t>
            </w:r>
          </w:p>
        </w:tc>
      </w:tr>
      <w:tr>
        <w:tc>
          <w:tcPr>
            <w:tcW w:w="1984" w:type="dxa"/>
            <w:shd w:fill="F3F5F7"/>
            <w:tcBorders>
              <w:top w:val="single" w:color="D7DEE5" w:sz="4" w:space="0"/>
              <w:left w:val="single" w:color="D7DEE5" w:sz="4" w:space="0"/>
              <w:bottom w:val="single" w:color="D7DEE5" w:sz="4" w:space="0"/>
              <w:right w:val="single" w:color="D7DEE5" w:sz="4" w:space="0"/>
              <w:insideH w:val="single" w:color="D7DEE5" w:sz="4" w:space="0"/>
              <w:insideV w:val="single" w:color="D7DEE5" w:sz="4" w:space="0"/>
            </w:tcBorders>
            <w:vAlign w:val="center"/>
          </w:tcPr>
          <w:p w14:paraId="00100096" w14:textId="00100097"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Спринт → Сопровождение</w:t>
            </w:r>
          </w:p>
        </w:tc>
        <w:tc>
          <w:tcPr>
            <w:tcW w:w="2324" w:type="dxa"/>
            <w:shd w:fill="F3F5F7"/>
            <w:tcBorders>
              <w:top w:val="single" w:color="D7DEE5" w:sz="4" w:space="0"/>
              <w:left w:val="single" w:color="D7DEE5" w:sz="4" w:space="0"/>
              <w:bottom w:val="single" w:color="D7DEE5" w:sz="4" w:space="0"/>
              <w:right w:val="single" w:color="D7DEE5" w:sz="4" w:space="0"/>
              <w:insideH w:val="single" w:color="D7DEE5" w:sz="4" w:space="0"/>
              <w:insideV w:val="single" w:color="D7DEE5" w:sz="4" w:space="0"/>
            </w:tcBorders>
            <w:vAlign w:val="center"/>
          </w:tcPr>
          <w:p w14:paraId="00100098" w14:textId="00100150">
            <w:pPr/>
            <w:r>
              <w:t xml:space="preserve">Внедренный результат Спринта, приемочные факты и решение о необходимости контроля удержания.</w:t>
            </w:r>
          </w:p>
        </w:tc>
        <w:tc>
          <w:tcPr>
            <w:tcW w:w="2835" w:type="dxa"/>
            <w:shd w:fill="F3F5F7"/>
            <w:tcBorders>
              <w:top w:val="single" w:color="D7DEE5" w:sz="4" w:space="0"/>
              <w:left w:val="single" w:color="D7DEE5" w:sz="4" w:space="0"/>
              <w:bottom w:val="single" w:color="D7DEE5" w:sz="4" w:space="0"/>
              <w:right w:val="single" w:color="D7DEE5" w:sz="4" w:space="0"/>
              <w:insideH w:val="single" w:color="D7DEE5" w:sz="4" w:space="0"/>
              <w:insideV w:val="single" w:color="D7DEE5" w:sz="4" w:space="0"/>
            </w:tcBorders>
            <w:vAlign w:val="center"/>
          </w:tcPr>
          <w:p w14:paraId="0010009A" w14:textId="00100151">
            <w:pPr/>
            <w:r>
              <w:t xml:space="preserve">Сопровождение требуется → Сопровождение; не требуется → завершение.</w:t>
            </w:r>
          </w:p>
        </w:tc>
        <w:tc>
          <w:tcPr>
            <w:tcW w:w="2551" w:type="dxa"/>
            <w:shd w:fill="F3F5F7"/>
            <w:tcBorders>
              <w:top w:val="single" w:color="D7DEE5" w:sz="4" w:space="0"/>
              <w:left w:val="single" w:color="D7DEE5" w:sz="4" w:space="0"/>
              <w:bottom w:val="single" w:color="D7DEE5" w:sz="4" w:space="0"/>
              <w:right w:val="single" w:color="D7DEE5" w:sz="4" w:space="0"/>
              <w:insideH w:val="single" w:color="D7DEE5" w:sz="4" w:space="0"/>
              <w:insideV w:val="single" w:color="D7DEE5" w:sz="4" w:space="0"/>
            </w:tcBorders>
            <w:vAlign w:val="center"/>
          </w:tcPr>
          <w:p w14:paraId="0010009C" w14:textId="00100152">
            <w:pPr/>
            <w:r>
              <w:t xml:space="preserve">Исправимое отклонение → продолжить Спринт; ошибка исходного решения → Сессия; отчет без внедрения не проходит.</w:t>
            </w:r>
          </w:p>
        </w:tc>
      </w:tr>
      <w:tr>
        <w:tc>
          <w:tcPr>
            <w:tcW w:w="1984" w:type="dxa"/>
            <w:shd w:fill="FFFFFF"/>
            <w:tcBorders>
              <w:top w:val="single" w:color="D7DEE5" w:sz="4" w:space="0"/>
              <w:left w:val="single" w:color="D7DEE5" w:sz="4" w:space="0"/>
              <w:bottom w:val="single" w:color="D7DEE5" w:sz="4" w:space="0"/>
              <w:right w:val="single" w:color="D7DEE5" w:sz="4" w:space="0"/>
              <w:insideH w:val="single" w:color="D7DEE5" w:sz="4" w:space="0"/>
              <w:insideV w:val="single" w:color="D7DEE5" w:sz="4" w:space="0"/>
            </w:tcBorders>
            <w:vAlign w:val="center"/>
          </w:tcPr>
          <w:p w14:paraId="0010009E" w14:textId="00100153">
            <w:pPr/>
            <w:r>
              <w:t xml:space="preserve">Сопровождение → следующий цикл / завершение</w:t>
            </w:r>
          </w:p>
        </w:tc>
        <w:tc>
          <w:tcPr>
            <w:tcW w:w="2324" w:type="dxa"/>
            <w:shd w:fill="FFFFFF"/>
            <w:tcBorders>
              <w:top w:val="single" w:color="D7DEE5" w:sz="4" w:space="0"/>
              <w:left w:val="single" w:color="D7DEE5" w:sz="4" w:space="0"/>
              <w:bottom w:val="single" w:color="D7DEE5" w:sz="4" w:space="0"/>
              <w:right w:val="single" w:color="D7DEE5" w:sz="4" w:space="0"/>
              <w:insideH w:val="single" w:color="D7DEE5" w:sz="4" w:space="0"/>
              <w:insideV w:val="single" w:color="D7DEE5" w:sz="4" w:space="0"/>
            </w:tcBorders>
            <w:vAlign w:val="center"/>
          </w:tcPr>
          <w:p w14:paraId="001000A0" w14:textId="001000A1"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Факты удержания или отклонения.</w:t>
            </w:r>
          </w:p>
        </w:tc>
        <w:tc>
          <w:tcPr>
            <w:tcW w:w="2835" w:type="dxa"/>
            <w:shd w:fill="FFFFFF"/>
            <w:tcBorders>
              <w:top w:val="single" w:color="D7DEE5" w:sz="4" w:space="0"/>
              <w:left w:val="single" w:color="D7DEE5" w:sz="4" w:space="0"/>
              <w:bottom w:val="single" w:color="D7DEE5" w:sz="4" w:space="0"/>
              <w:right w:val="single" w:color="D7DEE5" w:sz="4" w:space="0"/>
              <w:insideH w:val="single" w:color="D7DEE5" w:sz="4" w:space="0"/>
              <w:insideV w:val="single" w:color="D7DEE5" w:sz="4" w:space="0"/>
            </w:tcBorders>
            <w:vAlign w:val="center"/>
          </w:tcPr>
          <w:p w14:paraId="001000A2" w14:textId="00100154">
            <w:pPr/>
            <w:r>
              <w:t xml:space="preserve">Удерживать → остаться в Сопровождении; корректировать → Спринт; изменить архитектуру → Сессия; стабильный результат → завершить.</w:t>
            </w:r>
          </w:p>
        </w:tc>
        <w:tc>
          <w:tcPr>
            <w:tcW w:w="2551" w:type="dxa"/>
            <w:shd w:fill="FFFFFF"/>
            <w:tcBorders>
              <w:top w:val="single" w:color="D7DEE5" w:sz="4" w:space="0"/>
              <w:left w:val="single" w:color="D7DEE5" w:sz="4" w:space="0"/>
              <w:bottom w:val="single" w:color="D7DEE5" w:sz="4" w:space="0"/>
              <w:right w:val="single" w:color="D7DEE5" w:sz="4" w:space="0"/>
              <w:insideH w:val="single" w:color="D7DEE5" w:sz="4" w:space="0"/>
              <w:insideV w:val="single" w:color="D7DEE5" w:sz="4" w:space="0"/>
            </w:tcBorders>
            <w:vAlign w:val="center"/>
          </w:tcPr>
          <w:p w14:paraId="001000A4" w14:textId="00100155">
            <w:pPr/>
            <w:r>
              <w:t xml:space="preserve">Нет фактов → HOLD до получения данных; неустранимый блокер → STOP.</w:t>
            </w:r>
          </w:p>
        </w:tc>
      </w:tr>
    </w:tbl>
    <w:p w14:paraId="001000A6" w14:textId="001000A7">
      <w:pPr>
        <w:spacing w:after="40" w:line="259" w:lineRule="auto"/>
      </w:pPr>
      <w:r>
        <w:rPr>
          <w:rFonts w:ascii="Arial" w:hAnsi="Arial" w:eastAsia="Arial"/>
          <w:b w:val="0"/>
          <w:color w:val="1F2937"/>
          <w:sz w:val="20"/>
        </w:rPr>
      </w:r>
    </w:p>
    <w:p w14:paraId="001000A8" w14:textId="001000A9">
      <w:r>
        <w:br w:type="page"/>
      </w:r>
    </w:p>
    <w:p w14:paraId="001000AA" w14:textId="001000AB">
      <w:pPr>
        <w:spacing w:before="240" w:after="140"/>
      </w:pPr>
      <w:r>
        <w:rPr>
          <w:rFonts w:ascii="Arial" w:hAnsi="Arial" w:eastAsia="Arial"/>
          <w:b/>
          <w:color w:val="163247"/>
          <w:sz w:val="32"/>
        </w:rPr>
        <w:t>5. Минимальный комплект артефактов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>
        <w:tc>
          <w:tcPr>
            <w:tcW w:w="1587" w:type="dxa"/>
            <w:shd w:fill="1F4E79"/>
            <w:tcBorders>
              <w:top w:val="single" w:color="D7DEE5" w:sz="6" w:space="0"/>
              <w:left w:val="single" w:color="D7DEE5" w:sz="6" w:space="0"/>
              <w:bottom w:val="single" w:color="D7DEE5" w:sz="6" w:space="0"/>
              <w:right w:val="single" w:color="D7DEE5" w:sz="6" w:space="0"/>
              <w:insideH w:val="single" w:color="D7DEE5" w:sz="6" w:space="0"/>
              <w:insideV w:val="single" w:color="D7DEE5" w:sz="6" w:space="0"/>
            </w:tcBorders>
            <w:vAlign w:val="center"/>
          </w:tcPr>
          <w:p w14:paraId="001000AC" w14:textId="001000AD"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Продукт</w:t>
            </w:r>
          </w:p>
        </w:tc>
        <w:tc>
          <w:tcPr>
            <w:tcW w:w="3628" w:type="dxa"/>
            <w:shd w:fill="1F4E79"/>
            <w:tcBorders>
              <w:top w:val="single" w:color="D7DEE5" w:sz="6" w:space="0"/>
              <w:left w:val="single" w:color="D7DEE5" w:sz="6" w:space="0"/>
              <w:bottom w:val="single" w:color="D7DEE5" w:sz="6" w:space="0"/>
              <w:right w:val="single" w:color="D7DEE5" w:sz="6" w:space="0"/>
              <w:insideH w:val="single" w:color="D7DEE5" w:sz="6" w:space="0"/>
              <w:insideV w:val="single" w:color="D7DEE5" w:sz="6" w:space="0"/>
            </w:tcBorders>
            <w:vAlign w:val="center"/>
          </w:tcPr>
          <w:p w14:paraId="001000AE" w14:textId="001000AF"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Обязательные артефакты</w:t>
            </w:r>
          </w:p>
        </w:tc>
        <w:tc>
          <w:tcPr>
            <w:tcW w:w="1928" w:type="dxa"/>
            <w:shd w:fill="1F4E79"/>
            <w:tcBorders>
              <w:top w:val="single" w:color="D7DEE5" w:sz="6" w:space="0"/>
              <w:left w:val="single" w:color="D7DEE5" w:sz="6" w:space="0"/>
              <w:bottom w:val="single" w:color="D7DEE5" w:sz="6" w:space="0"/>
              <w:right w:val="single" w:color="D7DEE5" w:sz="6" w:space="0"/>
              <w:insideH w:val="single" w:color="D7DEE5" w:sz="6" w:space="0"/>
              <w:insideV w:val="single" w:color="D7DEE5" w:sz="6" w:space="0"/>
            </w:tcBorders>
            <w:vAlign w:val="center"/>
          </w:tcPr>
          <w:p w14:paraId="001000B0" w14:textId="001000B1"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Рабочая книга</w:t>
            </w:r>
          </w:p>
        </w:tc>
        <w:tc>
          <w:tcPr>
            <w:tcW w:w="2608" w:type="dxa"/>
            <w:shd w:fill="1F4E79"/>
            <w:tcBorders>
              <w:top w:val="single" w:color="D7DEE5" w:sz="6" w:space="0"/>
              <w:left w:val="single" w:color="D7DEE5" w:sz="6" w:space="0"/>
              <w:bottom w:val="single" w:color="D7DEE5" w:sz="6" w:space="0"/>
              <w:right w:val="single" w:color="D7DEE5" w:sz="6" w:space="0"/>
              <w:insideH w:val="single" w:color="D7DEE5" w:sz="6" w:space="0"/>
              <w:insideV w:val="single" w:color="D7DEE5" w:sz="6" w:space="0"/>
            </w:tcBorders>
            <w:vAlign w:val="center"/>
          </w:tcPr>
          <w:p w14:paraId="001000B2" w14:textId="001000B3"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Критерий закрытия</w:t>
            </w:r>
          </w:p>
        </w:tc>
      </w:tr>
      <w:tr>
        <w:tc>
          <w:tcPr>
            <w:tcW w:w="1587" w:type="dxa"/>
            <w:shd w:fill="FFFFFF"/>
            <w:tcBorders>
              <w:top w:val="single" w:color="D7DEE5" w:sz="4" w:space="0"/>
              <w:left w:val="single" w:color="D7DEE5" w:sz="4" w:space="0"/>
              <w:bottom w:val="single" w:color="D7DEE5" w:sz="4" w:space="0"/>
              <w:right w:val="single" w:color="D7DEE5" w:sz="4" w:space="0"/>
              <w:insideH w:val="single" w:color="D7DEE5" w:sz="4" w:space="0"/>
              <w:insideV w:val="single" w:color="D7DEE5" w:sz="4" w:space="0"/>
            </w:tcBorders>
            <w:vAlign w:val="center"/>
          </w:tcPr>
          <w:p w14:paraId="001000B4" w14:textId="001000B5"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Диагностика</w:t>
            </w:r>
          </w:p>
        </w:tc>
        <w:tc>
          <w:tcPr>
            <w:tcW w:w="3628" w:type="dxa"/>
            <w:shd w:fill="FFFFFF"/>
            <w:tcBorders>
              <w:top w:val="single" w:color="D7DEE5" w:sz="4" w:space="0"/>
              <w:left w:val="single" w:color="D7DEE5" w:sz="4" w:space="0"/>
              <w:bottom w:val="single" w:color="D7DEE5" w:sz="4" w:space="0"/>
              <w:right w:val="single" w:color="D7DEE5" w:sz="4" w:space="0"/>
              <w:insideH w:val="single" w:color="D7DEE5" w:sz="4" w:space="0"/>
              <w:insideV w:val="single" w:color="D7DEE5" w:sz="4" w:space="0"/>
            </w:tcBorders>
            <w:vAlign w:val="center"/>
          </w:tcPr>
          <w:p w14:paraId="001000B6" w14:textId="001000B7"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Карточка запроса, допуск, карта ролей и мандатов, карта разрывов, вердикт.</w:t>
            </w:r>
          </w:p>
        </w:tc>
        <w:tc>
          <w:tcPr>
            <w:tcW w:w="1928" w:type="dxa"/>
            <w:shd w:fill="FFFFFF"/>
            <w:tcBorders>
              <w:top w:val="single" w:color="D7DEE5" w:sz="4" w:space="0"/>
              <w:left w:val="single" w:color="D7DEE5" w:sz="4" w:space="0"/>
              <w:bottom w:val="single" w:color="D7DEE5" w:sz="4" w:space="0"/>
              <w:right w:val="single" w:color="D7DEE5" w:sz="4" w:space="0"/>
              <w:insideH w:val="single" w:color="D7DEE5" w:sz="4" w:space="0"/>
              <w:insideV w:val="single" w:color="D7DEE5" w:sz="4" w:space="0"/>
            </w:tcBorders>
            <w:vAlign w:val="center"/>
          </w:tcPr>
          <w:p w14:paraId="001000B8" w14:textId="001000B9"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Продукт 01 Диагностика</w:t>
            </w:r>
          </w:p>
        </w:tc>
        <w:tc>
          <w:tcPr>
            <w:tcW w:w="2608" w:type="dxa"/>
            <w:shd w:fill="FFFFFF"/>
            <w:tcBorders>
              <w:top w:val="single" w:color="D7DEE5" w:sz="4" w:space="0"/>
              <w:left w:val="single" w:color="D7DEE5" w:sz="4" w:space="0"/>
              <w:bottom w:val="single" w:color="D7DEE5" w:sz="4" w:space="0"/>
              <w:right w:val="single" w:color="D7DEE5" w:sz="4" w:space="0"/>
              <w:insideH w:val="single" w:color="D7DEE5" w:sz="4" w:space="0"/>
              <w:insideV w:val="single" w:color="D7DEE5" w:sz="4" w:space="0"/>
            </w:tcBorders>
            <w:vAlign w:val="center"/>
          </w:tcPr>
          <w:p w14:paraId="001000BA" w14:textId="001000BB"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Есть подтвержденный вердикт и следующий шаг или отказ.</w:t>
            </w:r>
          </w:p>
        </w:tc>
      </w:tr>
      <w:tr>
        <w:tc>
          <w:tcPr>
            <w:tcW w:w="1587" w:type="dxa"/>
            <w:shd w:fill="F3F5F7"/>
            <w:tcBorders>
              <w:top w:val="single" w:color="D7DEE5" w:sz="4" w:space="0"/>
              <w:left w:val="single" w:color="D7DEE5" w:sz="4" w:space="0"/>
              <w:bottom w:val="single" w:color="D7DEE5" w:sz="4" w:space="0"/>
              <w:right w:val="single" w:color="D7DEE5" w:sz="4" w:space="0"/>
              <w:insideH w:val="single" w:color="D7DEE5" w:sz="4" w:space="0"/>
              <w:insideV w:val="single" w:color="D7DEE5" w:sz="4" w:space="0"/>
            </w:tcBorders>
            <w:vAlign w:val="center"/>
          </w:tcPr>
          <w:p w14:paraId="001000BC" w14:textId="001000BD"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Сессия</w:t>
            </w:r>
          </w:p>
        </w:tc>
        <w:tc>
          <w:tcPr>
            <w:tcW w:w="3628" w:type="dxa"/>
            <w:shd w:fill="F3F5F7"/>
            <w:tcBorders>
              <w:top w:val="single" w:color="D7DEE5" w:sz="4" w:space="0"/>
              <w:left w:val="single" w:color="D7DEE5" w:sz="4" w:space="0"/>
              <w:bottom w:val="single" w:color="D7DEE5" w:sz="4" w:space="0"/>
              <w:right w:val="single" w:color="D7DEE5" w:sz="4" w:space="0"/>
              <w:insideH w:val="single" w:color="D7DEE5" w:sz="4" w:space="0"/>
              <w:insideV w:val="single" w:color="D7DEE5" w:sz="4" w:space="0"/>
            </w:tcBorders>
            <w:vAlign w:val="center"/>
          </w:tcPr>
          <w:p w14:paraId="001000BE" w14:textId="001000BF"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Активный набор решений, владельцы, Decision OS / система решений, паспорт Спринта.</w:t>
            </w:r>
          </w:p>
        </w:tc>
        <w:tc>
          <w:tcPr>
            <w:tcW w:w="1928" w:type="dxa"/>
            <w:shd w:fill="F3F5F7"/>
            <w:tcBorders>
              <w:top w:val="single" w:color="D7DEE5" w:sz="4" w:space="0"/>
              <w:left w:val="single" w:color="D7DEE5" w:sz="4" w:space="0"/>
              <w:bottom w:val="single" w:color="D7DEE5" w:sz="4" w:space="0"/>
              <w:right w:val="single" w:color="D7DEE5" w:sz="4" w:space="0"/>
              <w:insideH w:val="single" w:color="D7DEE5" w:sz="4" w:space="0"/>
              <w:insideV w:val="single" w:color="D7DEE5" w:sz="4" w:space="0"/>
            </w:tcBorders>
            <w:vAlign w:val="center"/>
          </w:tcPr>
          <w:p w14:paraId="001000C0" w14:textId="001000C1"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Продукт 02 Сессия</w:t>
            </w:r>
          </w:p>
        </w:tc>
        <w:tc>
          <w:tcPr>
            <w:tcW w:w="2608" w:type="dxa"/>
            <w:shd w:fill="F3F5F7"/>
            <w:tcBorders>
              <w:top w:val="single" w:color="D7DEE5" w:sz="4" w:space="0"/>
              <w:left w:val="single" w:color="D7DEE5" w:sz="4" w:space="0"/>
              <w:bottom w:val="single" w:color="D7DEE5" w:sz="4" w:space="0"/>
              <w:right w:val="single" w:color="D7DEE5" w:sz="4" w:space="0"/>
              <w:insideH w:val="single" w:color="D7DEE5" w:sz="4" w:space="0"/>
              <w:insideV w:val="single" w:color="D7DEE5" w:sz="4" w:space="0"/>
            </w:tcBorders>
            <w:vAlign w:val="center"/>
          </w:tcPr>
          <w:p w14:paraId="001000C2" w14:textId="001000C3"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Есть паспорт Спринта, который можно запускать.</w:t>
            </w:r>
          </w:p>
        </w:tc>
      </w:tr>
      <w:tr>
        <w:tc>
          <w:tcPr>
            <w:tcW w:w="1587" w:type="dxa"/>
            <w:shd w:fill="FFFFFF"/>
            <w:tcBorders>
              <w:top w:val="single" w:color="D7DEE5" w:sz="4" w:space="0"/>
              <w:left w:val="single" w:color="D7DEE5" w:sz="4" w:space="0"/>
              <w:bottom w:val="single" w:color="D7DEE5" w:sz="4" w:space="0"/>
              <w:right w:val="single" w:color="D7DEE5" w:sz="4" w:space="0"/>
              <w:insideH w:val="single" w:color="D7DEE5" w:sz="4" w:space="0"/>
              <w:insideV w:val="single" w:color="D7DEE5" w:sz="4" w:space="0"/>
            </w:tcBorders>
            <w:vAlign w:val="center"/>
          </w:tcPr>
          <w:p w14:paraId="001000C4" w14:textId="001000C5"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Спринт</w:t>
            </w:r>
          </w:p>
        </w:tc>
        <w:tc>
          <w:tcPr>
            <w:tcW w:w="3628" w:type="dxa"/>
            <w:shd w:fill="FFFFFF"/>
            <w:tcBorders>
              <w:top w:val="single" w:color="D7DEE5" w:sz="4" w:space="0"/>
              <w:left w:val="single" w:color="D7DEE5" w:sz="4" w:space="0"/>
              <w:bottom w:val="single" w:color="D7DEE5" w:sz="4" w:space="0"/>
              <w:right w:val="single" w:color="D7DEE5" w:sz="4" w:space="0"/>
              <w:insideH w:val="single" w:color="D7DEE5" w:sz="4" w:space="0"/>
              <w:insideV w:val="single" w:color="D7DEE5" w:sz="4" w:space="0"/>
            </w:tcBorders>
            <w:vAlign w:val="center"/>
          </w:tcPr>
          <w:p w14:paraId="001000C6" w14:textId="001000C7"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План действий, артефакты, отклонения, промежуточный отчет, итог.</w:t>
            </w:r>
          </w:p>
        </w:tc>
        <w:tc>
          <w:tcPr>
            <w:tcW w:w="1928" w:type="dxa"/>
            <w:shd w:fill="FFFFFF"/>
            <w:tcBorders>
              <w:top w:val="single" w:color="D7DEE5" w:sz="4" w:space="0"/>
              <w:left w:val="single" w:color="D7DEE5" w:sz="4" w:space="0"/>
              <w:bottom w:val="single" w:color="D7DEE5" w:sz="4" w:space="0"/>
              <w:right w:val="single" w:color="D7DEE5" w:sz="4" w:space="0"/>
              <w:insideH w:val="single" w:color="D7DEE5" w:sz="4" w:space="0"/>
              <w:insideV w:val="single" w:color="D7DEE5" w:sz="4" w:space="0"/>
            </w:tcBorders>
            <w:vAlign w:val="center"/>
          </w:tcPr>
          <w:p w14:paraId="001000C8" w14:textId="001000C9"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Продукт 03 Спринт</w:t>
            </w:r>
          </w:p>
        </w:tc>
        <w:tc>
          <w:tcPr>
            <w:tcW w:w="2608" w:type="dxa"/>
            <w:shd w:fill="FFFFFF"/>
            <w:tcBorders>
              <w:top w:val="single" w:color="D7DEE5" w:sz="4" w:space="0"/>
              <w:left w:val="single" w:color="D7DEE5" w:sz="4" w:space="0"/>
              <w:bottom w:val="single" w:color="D7DEE5" w:sz="4" w:space="0"/>
              <w:right w:val="single" w:color="D7DEE5" w:sz="4" w:space="0"/>
              <w:insideH w:val="single" w:color="D7DEE5" w:sz="4" w:space="0"/>
              <w:insideV w:val="single" w:color="D7DEE5" w:sz="4" w:space="0"/>
            </w:tcBorders>
            <w:vAlign w:val="center"/>
          </w:tcPr>
          <w:p w14:paraId="001000CA" w14:textId="001000CB"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Есть реализованный проект и объект удержания.</w:t>
            </w:r>
          </w:p>
        </w:tc>
      </w:tr>
      <w:tr>
        <w:tc>
          <w:tcPr>
            <w:tcW w:w="1587" w:type="dxa"/>
            <w:shd w:fill="F3F5F7"/>
            <w:tcBorders>
              <w:top w:val="single" w:color="D7DEE5" w:sz="4" w:space="0"/>
              <w:left w:val="single" w:color="D7DEE5" w:sz="4" w:space="0"/>
              <w:bottom w:val="single" w:color="D7DEE5" w:sz="4" w:space="0"/>
              <w:right w:val="single" w:color="D7DEE5" w:sz="4" w:space="0"/>
              <w:insideH w:val="single" w:color="D7DEE5" w:sz="4" w:space="0"/>
              <w:insideV w:val="single" w:color="D7DEE5" w:sz="4" w:space="0"/>
            </w:tcBorders>
            <w:vAlign w:val="center"/>
          </w:tcPr>
          <w:p w14:paraId="001000CC" w14:textId="001000CD"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Сопровождение</w:t>
            </w:r>
          </w:p>
        </w:tc>
        <w:tc>
          <w:tcPr>
            <w:tcW w:w="3628" w:type="dxa"/>
            <w:shd w:fill="F3F5F7"/>
            <w:tcBorders>
              <w:top w:val="single" w:color="D7DEE5" w:sz="4" w:space="0"/>
              <w:left w:val="single" w:color="D7DEE5" w:sz="4" w:space="0"/>
              <w:bottom w:val="single" w:color="D7DEE5" w:sz="4" w:space="0"/>
              <w:right w:val="single" w:color="D7DEE5" w:sz="4" w:space="0"/>
              <w:insideH w:val="single" w:color="D7DEE5" w:sz="4" w:space="0"/>
              <w:insideV w:val="single" w:color="D7DEE5" w:sz="4" w:space="0"/>
            </w:tcBorders>
            <w:vAlign w:val="center"/>
          </w:tcPr>
          <w:p w14:paraId="001000CE" w14:textId="001000CF"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Контроль результата, отклонения, решение, следующий цикл.</w:t>
            </w:r>
          </w:p>
        </w:tc>
        <w:tc>
          <w:tcPr>
            <w:tcW w:w="1928" w:type="dxa"/>
            <w:shd w:fill="F3F5F7"/>
            <w:tcBorders>
              <w:top w:val="single" w:color="D7DEE5" w:sz="4" w:space="0"/>
              <w:left w:val="single" w:color="D7DEE5" w:sz="4" w:space="0"/>
              <w:bottom w:val="single" w:color="D7DEE5" w:sz="4" w:space="0"/>
              <w:right w:val="single" w:color="D7DEE5" w:sz="4" w:space="0"/>
              <w:insideH w:val="single" w:color="D7DEE5" w:sz="4" w:space="0"/>
              <w:insideV w:val="single" w:color="D7DEE5" w:sz="4" w:space="0"/>
            </w:tcBorders>
            <w:vAlign w:val="center"/>
          </w:tcPr>
          <w:p w14:paraId="001000D0" w14:textId="001000D1"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Продукт 04 Сопровождение</w:t>
            </w:r>
          </w:p>
        </w:tc>
        <w:tc>
          <w:tcPr>
            <w:tcW w:w="2608" w:type="dxa"/>
            <w:shd w:fill="F3F5F7"/>
            <w:tcBorders>
              <w:top w:val="single" w:color="D7DEE5" w:sz="4" w:space="0"/>
              <w:left w:val="single" w:color="D7DEE5" w:sz="4" w:space="0"/>
              <w:bottom w:val="single" w:color="D7DEE5" w:sz="4" w:space="0"/>
              <w:right w:val="single" w:color="D7DEE5" w:sz="4" w:space="0"/>
              <w:insideH w:val="single" w:color="D7DEE5" w:sz="4" w:space="0"/>
              <w:insideV w:val="single" w:color="D7DEE5" w:sz="4" w:space="0"/>
            </w:tcBorders>
            <w:vAlign w:val="center"/>
          </w:tcPr>
          <w:p w14:paraId="001000D2" w14:textId="001000D3"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Есть решение о продолжении, корректировке, масштабировании или завершении.</w:t>
            </w:r>
          </w:p>
        </w:tc>
      </w:tr>
    </w:tbl>
    <w:p w14:paraId="001000D4" w14:textId="001000D5">
      <w:pPr>
        <w:spacing w:after="40" w:line="259" w:lineRule="auto"/>
      </w:pPr>
      <w:r>
        <w:rPr>
          <w:rFonts w:ascii="Arial" w:hAnsi="Arial" w:eastAsia="Arial"/>
          <w:b w:val="0"/>
          <w:color w:val="1F2937"/>
          <w:sz w:val="20"/>
        </w:rPr>
      </w:r>
    </w:p>
    <w:p w14:paraId="001000D6" w14:textId="001000D7">
      <w:pPr>
        <w:spacing w:before="240" w:after="140"/>
      </w:pPr>
      <w:r>
        <w:rPr>
          <w:rFonts w:ascii="Arial" w:hAnsi="Arial" w:eastAsia="Arial"/>
          <w:b/>
          <w:color w:val="163247"/>
          <w:sz w:val="32"/>
        </w:rPr>
        <w:t>6. Антиошибки консультанта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457"/>
        <w:gridCol w:w="3457"/>
        <w:gridCol w:w="3457"/>
      </w:tblGrid>
      <w:tr>
        <w:tc>
          <w:tcPr>
            <w:tcW w:w="2381" w:type="dxa"/>
            <w:shd w:fill="1F4E79"/>
            <w:tcBorders>
              <w:top w:val="single" w:color="D7DEE5" w:sz="6" w:space="0"/>
              <w:left w:val="single" w:color="D7DEE5" w:sz="6" w:space="0"/>
              <w:bottom w:val="single" w:color="D7DEE5" w:sz="6" w:space="0"/>
              <w:right w:val="single" w:color="D7DEE5" w:sz="6" w:space="0"/>
              <w:insideH w:val="single" w:color="D7DEE5" w:sz="6" w:space="0"/>
              <w:insideV w:val="single" w:color="D7DEE5" w:sz="6" w:space="0"/>
            </w:tcBorders>
            <w:vAlign w:val="center"/>
          </w:tcPr>
          <w:p w14:paraId="001000D8" w14:textId="001000D9"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Ошибка</w:t>
            </w:r>
          </w:p>
        </w:tc>
        <w:tc>
          <w:tcPr>
            <w:tcW w:w="3175" w:type="dxa"/>
            <w:shd w:fill="1F4E79"/>
            <w:tcBorders>
              <w:top w:val="single" w:color="D7DEE5" w:sz="6" w:space="0"/>
              <w:left w:val="single" w:color="D7DEE5" w:sz="6" w:space="0"/>
              <w:bottom w:val="single" w:color="D7DEE5" w:sz="6" w:space="0"/>
              <w:right w:val="single" w:color="D7DEE5" w:sz="6" w:space="0"/>
              <w:insideH w:val="single" w:color="D7DEE5" w:sz="6" w:space="0"/>
              <w:insideV w:val="single" w:color="D7DEE5" w:sz="6" w:space="0"/>
            </w:tcBorders>
            <w:vAlign w:val="center"/>
          </w:tcPr>
          <w:p w14:paraId="001000DA" w14:textId="001000DB"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Почему критично</w:t>
            </w:r>
          </w:p>
        </w:tc>
        <w:tc>
          <w:tcPr>
            <w:tcW w:w="3855" w:type="dxa"/>
            <w:shd w:fill="1F4E79"/>
            <w:tcBorders>
              <w:top w:val="single" w:color="D7DEE5" w:sz="6" w:space="0"/>
              <w:left w:val="single" w:color="D7DEE5" w:sz="6" w:space="0"/>
              <w:bottom w:val="single" w:color="D7DEE5" w:sz="6" w:space="0"/>
              <w:right w:val="single" w:color="D7DEE5" w:sz="6" w:space="0"/>
              <w:insideH w:val="single" w:color="D7DEE5" w:sz="6" w:space="0"/>
              <w:insideV w:val="single" w:color="D7DEE5" w:sz="6" w:space="0"/>
            </w:tcBorders>
            <w:vAlign w:val="center"/>
          </w:tcPr>
          <w:p w14:paraId="001000DC" w14:textId="001000DD"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Правильное действие</w:t>
            </w:r>
          </w:p>
        </w:tc>
      </w:tr>
      <w:tr>
        <w:tc>
          <w:tcPr>
            <w:tcW w:w="2381" w:type="dxa"/>
            <w:shd w:fill="FFFFFF"/>
            <w:tcBorders>
              <w:top w:val="single" w:color="D7DEE5" w:sz="4" w:space="0"/>
              <w:left w:val="single" w:color="D7DEE5" w:sz="4" w:space="0"/>
              <w:bottom w:val="single" w:color="D7DEE5" w:sz="4" w:space="0"/>
              <w:right w:val="single" w:color="D7DEE5" w:sz="4" w:space="0"/>
              <w:insideH w:val="single" w:color="D7DEE5" w:sz="4" w:space="0"/>
              <w:insideV w:val="single" w:color="D7DEE5" w:sz="4" w:space="0"/>
            </w:tcBorders>
            <w:vAlign w:val="center"/>
          </w:tcPr>
          <w:p w14:paraId="001000DE" w14:textId="001000DF"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Диагностика проводится бесплатно.</w:t>
            </w:r>
          </w:p>
        </w:tc>
        <w:tc>
          <w:tcPr>
            <w:tcW w:w="3175" w:type="dxa"/>
            <w:shd w:fill="FFFFFF"/>
            <w:tcBorders>
              <w:top w:val="single" w:color="D7DEE5" w:sz="4" w:space="0"/>
              <w:left w:val="single" w:color="D7DEE5" w:sz="4" w:space="0"/>
              <w:bottom w:val="single" w:color="D7DEE5" w:sz="4" w:space="0"/>
              <w:right w:val="single" w:color="D7DEE5" w:sz="4" w:space="0"/>
              <w:insideH w:val="single" w:color="D7DEE5" w:sz="4" w:space="0"/>
              <w:insideV w:val="single" w:color="D7DEE5" w:sz="4" w:space="0"/>
            </w:tcBorders>
            <w:vAlign w:val="center"/>
          </w:tcPr>
          <w:p w14:paraId="001000E0" w14:textId="001000E1"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Клиент не воспринимает вывод как управленческое решение.</w:t>
            </w:r>
          </w:p>
        </w:tc>
        <w:tc>
          <w:tcPr>
            <w:tcW w:w="3855" w:type="dxa"/>
            <w:shd w:fill="FFFFFF"/>
            <w:tcBorders>
              <w:top w:val="single" w:color="D7DEE5" w:sz="4" w:space="0"/>
              <w:left w:val="single" w:color="D7DEE5" w:sz="4" w:space="0"/>
              <w:bottom w:val="single" w:color="D7DEE5" w:sz="4" w:space="0"/>
              <w:right w:val="single" w:color="D7DEE5" w:sz="4" w:space="0"/>
              <w:insideH w:val="single" w:color="D7DEE5" w:sz="4" w:space="0"/>
              <w:insideV w:val="single" w:color="D7DEE5" w:sz="4" w:space="0"/>
            </w:tcBorders>
            <w:vAlign w:val="center"/>
          </w:tcPr>
          <w:p w14:paraId="001000E2" w14:textId="001000E3"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Оставить Диагностику платной и обязательной.</w:t>
            </w:r>
          </w:p>
        </w:tc>
      </w:tr>
      <w:tr>
        <w:tc>
          <w:tcPr>
            <w:tcW w:w="2381" w:type="dxa"/>
            <w:shd w:fill="F3F5F7"/>
            <w:tcBorders>
              <w:top w:val="single" w:color="D7DEE5" w:sz="4" w:space="0"/>
              <w:left w:val="single" w:color="D7DEE5" w:sz="4" w:space="0"/>
              <w:bottom w:val="single" w:color="D7DEE5" w:sz="4" w:space="0"/>
              <w:right w:val="single" w:color="D7DEE5" w:sz="4" w:space="0"/>
              <w:insideH w:val="single" w:color="D7DEE5" w:sz="4" w:space="0"/>
              <w:insideV w:val="single" w:color="D7DEE5" w:sz="4" w:space="0"/>
            </w:tcBorders>
            <w:vAlign w:val="center"/>
          </w:tcPr>
          <w:p w14:paraId="001000E4" w14:textId="001000E5"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Сессия превращается в обсуждение всех проблем.</w:t>
            </w:r>
          </w:p>
        </w:tc>
        <w:tc>
          <w:tcPr>
            <w:tcW w:w="3175" w:type="dxa"/>
            <w:shd w:fill="F3F5F7"/>
            <w:tcBorders>
              <w:top w:val="single" w:color="D7DEE5" w:sz="4" w:space="0"/>
              <w:left w:val="single" w:color="D7DEE5" w:sz="4" w:space="0"/>
              <w:bottom w:val="single" w:color="D7DEE5" w:sz="4" w:space="0"/>
              <w:right w:val="single" w:color="D7DEE5" w:sz="4" w:space="0"/>
              <w:insideH w:val="single" w:color="D7DEE5" w:sz="4" w:space="0"/>
              <w:insideV w:val="single" w:color="D7DEE5" w:sz="4" w:space="0"/>
            </w:tcBorders>
            <w:vAlign w:val="center"/>
          </w:tcPr>
          <w:p w14:paraId="001000E6" w14:textId="001000E7"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Команда теряет фокус и не выходит к Спринту.</w:t>
            </w:r>
          </w:p>
        </w:tc>
        <w:tc>
          <w:tcPr>
            <w:tcW w:w="3855" w:type="dxa"/>
            <w:shd w:fill="F3F5F7"/>
            <w:tcBorders>
              <w:top w:val="single" w:color="D7DEE5" w:sz="4" w:space="0"/>
              <w:left w:val="single" w:color="D7DEE5" w:sz="4" w:space="0"/>
              <w:bottom w:val="single" w:color="D7DEE5" w:sz="4" w:space="0"/>
              <w:right w:val="single" w:color="D7DEE5" w:sz="4" w:space="0"/>
              <w:insideH w:val="single" w:color="D7DEE5" w:sz="4" w:space="0"/>
              <w:insideV w:val="single" w:color="D7DEE5" w:sz="4" w:space="0"/>
            </w:tcBorders>
            <w:vAlign w:val="center"/>
          </w:tcPr>
          <w:p w14:paraId="001000E8" w14:textId="001000E9"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Работать только с подтвержденным активным набором.</w:t>
            </w:r>
          </w:p>
        </w:tc>
      </w:tr>
      <w:tr>
        <w:tc>
          <w:tcPr>
            <w:tcW w:w="2381" w:type="dxa"/>
            <w:shd w:fill="FFFFFF"/>
            <w:tcBorders>
              <w:top w:val="single" w:color="D7DEE5" w:sz="4" w:space="0"/>
              <w:left w:val="single" w:color="D7DEE5" w:sz="4" w:space="0"/>
              <w:bottom w:val="single" w:color="D7DEE5" w:sz="4" w:space="0"/>
              <w:right w:val="single" w:color="D7DEE5" w:sz="4" w:space="0"/>
              <w:insideH w:val="single" w:color="D7DEE5" w:sz="4" w:space="0"/>
              <w:insideV w:val="single" w:color="D7DEE5" w:sz="4" w:space="0"/>
            </w:tcBorders>
            <w:vAlign w:val="center"/>
          </w:tcPr>
          <w:p w14:paraId="001000EA" w14:textId="001000EB"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Спринт заканчивается планом.</w:t>
            </w:r>
          </w:p>
        </w:tc>
        <w:tc>
          <w:tcPr>
            <w:tcW w:w="3175" w:type="dxa"/>
            <w:shd w:fill="FFFFFF"/>
            <w:tcBorders>
              <w:top w:val="single" w:color="D7DEE5" w:sz="4" w:space="0"/>
              <w:left w:val="single" w:color="D7DEE5" w:sz="4" w:space="0"/>
              <w:bottom w:val="single" w:color="D7DEE5" w:sz="4" w:space="0"/>
              <w:right w:val="single" w:color="D7DEE5" w:sz="4" w:space="0"/>
              <w:insideH w:val="single" w:color="D7DEE5" w:sz="4" w:space="0"/>
              <w:insideV w:val="single" w:color="D7DEE5" w:sz="4" w:space="0"/>
            </w:tcBorders>
            <w:vAlign w:val="center"/>
          </w:tcPr>
          <w:p w14:paraId="001000EC" w14:textId="001000ED"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Результат не меняет работу директоров.</w:t>
            </w:r>
          </w:p>
        </w:tc>
        <w:tc>
          <w:tcPr>
            <w:tcW w:w="3855" w:type="dxa"/>
            <w:shd w:fill="FFFFFF"/>
            <w:tcBorders>
              <w:top w:val="single" w:color="D7DEE5" w:sz="4" w:space="0"/>
              <w:left w:val="single" w:color="D7DEE5" w:sz="4" w:space="0"/>
              <w:bottom w:val="single" w:color="D7DEE5" w:sz="4" w:space="0"/>
              <w:right w:val="single" w:color="D7DEE5" w:sz="4" w:space="0"/>
              <w:insideH w:val="single" w:color="D7DEE5" w:sz="4" w:space="0"/>
              <w:insideV w:val="single" w:color="D7DEE5" w:sz="4" w:space="0"/>
            </w:tcBorders>
            <w:vAlign w:val="center"/>
          </w:tcPr>
          <w:p w14:paraId="001000EE" w14:textId="001000EF"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Закрывать Спринт только внедренным артефактом или решением Stop / остановка.</w:t>
            </w:r>
          </w:p>
        </w:tc>
      </w:tr>
      <w:tr>
        <w:tc>
          <w:tcPr>
            <w:tcW w:w="2381" w:type="dxa"/>
            <w:shd w:fill="F3F5F7"/>
            <w:tcBorders>
              <w:top w:val="single" w:color="D7DEE5" w:sz="4" w:space="0"/>
              <w:left w:val="single" w:color="D7DEE5" w:sz="4" w:space="0"/>
              <w:bottom w:val="single" w:color="D7DEE5" w:sz="4" w:space="0"/>
              <w:right w:val="single" w:color="D7DEE5" w:sz="4" w:space="0"/>
              <w:insideH w:val="single" w:color="D7DEE5" w:sz="4" w:space="0"/>
              <w:insideV w:val="single" w:color="D7DEE5" w:sz="4" w:space="0"/>
            </w:tcBorders>
            <w:vAlign w:val="center"/>
          </w:tcPr>
          <w:p w14:paraId="001000F0" w14:textId="001000F1"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Сопровождение продается как абонентка.</w:t>
            </w:r>
          </w:p>
        </w:tc>
        <w:tc>
          <w:tcPr>
            <w:tcW w:w="3175" w:type="dxa"/>
            <w:shd w:fill="F3F5F7"/>
            <w:tcBorders>
              <w:top w:val="single" w:color="D7DEE5" w:sz="4" w:space="0"/>
              <w:left w:val="single" w:color="D7DEE5" w:sz="4" w:space="0"/>
              <w:bottom w:val="single" w:color="D7DEE5" w:sz="4" w:space="0"/>
              <w:right w:val="single" w:color="D7DEE5" w:sz="4" w:space="0"/>
              <w:insideH w:val="single" w:color="D7DEE5" w:sz="4" w:space="0"/>
              <w:insideV w:val="single" w:color="D7DEE5" w:sz="4" w:space="0"/>
            </w:tcBorders>
            <w:vAlign w:val="center"/>
          </w:tcPr>
          <w:p w14:paraId="001000F2" w14:textId="001000F3"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Теряется ценность удержания результата.</w:t>
            </w:r>
          </w:p>
        </w:tc>
        <w:tc>
          <w:tcPr>
            <w:tcW w:w="3855" w:type="dxa"/>
            <w:shd w:fill="F3F5F7"/>
            <w:tcBorders>
              <w:top w:val="single" w:color="D7DEE5" w:sz="4" w:space="0"/>
              <w:left w:val="single" w:color="D7DEE5" w:sz="4" w:space="0"/>
              <w:bottom w:val="single" w:color="D7DEE5" w:sz="4" w:space="0"/>
              <w:right w:val="single" w:color="D7DEE5" w:sz="4" w:space="0"/>
              <w:insideH w:val="single" w:color="D7DEE5" w:sz="4" w:space="0"/>
              <w:insideV w:val="single" w:color="D7DEE5" w:sz="4" w:space="0"/>
            </w:tcBorders>
            <w:vAlign w:val="center"/>
          </w:tcPr>
          <w:p w14:paraId="001000F4" w14:textId="001000F5"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Привязывать Сопровождение к объекту контроля после Спринта.</w:t>
            </w:r>
          </w:p>
        </w:tc>
      </w:tr>
      <w:tr>
        <w:tc>
          <w:tcPr>
            <w:tcW w:w="2381" w:type="dxa"/>
            <w:shd w:fill="FFFFFF"/>
            <w:tcBorders>
              <w:top w:val="single" w:color="D7DEE5" w:sz="4" w:space="0"/>
              <w:left w:val="single" w:color="D7DEE5" w:sz="4" w:space="0"/>
              <w:bottom w:val="single" w:color="D7DEE5" w:sz="4" w:space="0"/>
              <w:right w:val="single" w:color="D7DEE5" w:sz="4" w:space="0"/>
              <w:insideH w:val="single" w:color="D7DEE5" w:sz="4" w:space="0"/>
              <w:insideV w:val="single" w:color="D7DEE5" w:sz="4" w:space="0"/>
            </w:tcBorders>
            <w:vAlign w:val="center"/>
          </w:tcPr>
          <w:p w14:paraId="001000F6" w14:textId="001000F7"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CLM подменяется HR-оценкой или коучингом.</w:t>
            </w:r>
          </w:p>
        </w:tc>
        <w:tc>
          <w:tcPr>
            <w:tcW w:w="3175" w:type="dxa"/>
            <w:shd w:fill="FFFFFF"/>
            <w:tcBorders>
              <w:top w:val="single" w:color="D7DEE5" w:sz="4" w:space="0"/>
              <w:left w:val="single" w:color="D7DEE5" w:sz="4" w:space="0"/>
              <w:bottom w:val="single" w:color="D7DEE5" w:sz="4" w:space="0"/>
              <w:right w:val="single" w:color="D7DEE5" w:sz="4" w:space="0"/>
              <w:insideH w:val="single" w:color="D7DEE5" w:sz="4" w:space="0"/>
              <w:insideV w:val="single" w:color="D7DEE5" w:sz="4" w:space="0"/>
            </w:tcBorders>
            <w:vAlign w:val="center"/>
          </w:tcPr>
          <w:p w14:paraId="001000F8" w14:textId="001000F9"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Технология теряет предмет: роли, мандаты, решения, данные, ответственность.</w:t>
            </w:r>
          </w:p>
        </w:tc>
        <w:tc>
          <w:tcPr>
            <w:tcW w:w="3855" w:type="dxa"/>
            <w:shd w:fill="FFFFFF"/>
            <w:tcBorders>
              <w:top w:val="single" w:color="D7DEE5" w:sz="4" w:space="0"/>
              <w:left w:val="single" w:color="D7DEE5" w:sz="4" w:space="0"/>
              <w:bottom w:val="single" w:color="D7DEE5" w:sz="4" w:space="0"/>
              <w:right w:val="single" w:color="D7DEE5" w:sz="4" w:space="0"/>
              <w:insideH w:val="single" w:color="D7DEE5" w:sz="4" w:space="0"/>
              <w:insideV w:val="single" w:color="D7DEE5" w:sz="4" w:space="0"/>
            </w:tcBorders>
            <w:vAlign w:val="center"/>
          </w:tcPr>
          <w:p w14:paraId="001000FA" w14:textId="001000FB"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Проверять управляемость C-level-ядра, а не личностные качества директоров.</w:t>
            </w:r>
          </w:p>
        </w:tc>
      </w:tr>
    </w:tbl>
    <w:p w14:paraId="001000FC" w14:textId="001000FD">
      <w:pPr>
        <w:spacing w:after="40" w:line="259" w:lineRule="auto"/>
      </w:pPr>
      <w:r>
        <w:rPr>
          <w:rFonts w:ascii="Arial" w:hAnsi="Arial" w:eastAsia="Arial"/>
          <w:b w:val="0"/>
          <w:color w:val="1F2937"/>
          <w:sz w:val="20"/>
        </w:rPr>
      </w:r>
    </w:p>
    <w:p w14:paraId="001000FE" w14:textId="001000FF">
      <w:r>
        <w:br w:type="page"/>
      </w:r>
    </w:p>
    <w:p w14:paraId="00100100" w14:textId="00100101">
      <w:pPr>
        <w:spacing w:before="240" w:after="140"/>
      </w:pPr>
      <w:r>
        <w:rPr>
          <w:rFonts w:ascii="Arial" w:hAnsi="Arial" w:eastAsia="Arial"/>
          <w:b/>
          <w:color w:val="163247"/>
          <w:sz w:val="32"/>
        </w:rPr>
        <w:t>7. Контроль перед запуском клиента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457"/>
        <w:gridCol w:w="3457"/>
        <w:gridCol w:w="3457"/>
      </w:tblGrid>
      <w:tr>
        <w:tc>
          <w:tcPr>
            <w:tcW w:w="2891" w:type="dxa"/>
            <w:shd w:fill="1F4E79"/>
            <w:tcBorders>
              <w:top w:val="single" w:color="D7DEE5" w:sz="6" w:space="0"/>
              <w:left w:val="single" w:color="D7DEE5" w:sz="6" w:space="0"/>
              <w:bottom w:val="single" w:color="D7DEE5" w:sz="6" w:space="0"/>
              <w:right w:val="single" w:color="D7DEE5" w:sz="6" w:space="0"/>
              <w:insideH w:val="single" w:color="D7DEE5" w:sz="6" w:space="0"/>
              <w:insideV w:val="single" w:color="D7DEE5" w:sz="6" w:space="0"/>
            </w:tcBorders>
            <w:vAlign w:val="center"/>
          </w:tcPr>
          <w:p w14:paraId="00100102" w14:textId="00100103"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Проверка</w:t>
            </w:r>
          </w:p>
        </w:tc>
        <w:tc>
          <w:tcPr>
            <w:tcW w:w="1191" w:type="dxa"/>
            <w:shd w:fill="1F4E79"/>
            <w:tcBorders>
              <w:top w:val="single" w:color="D7DEE5" w:sz="6" w:space="0"/>
              <w:left w:val="single" w:color="D7DEE5" w:sz="6" w:space="0"/>
              <w:bottom w:val="single" w:color="D7DEE5" w:sz="6" w:space="0"/>
              <w:right w:val="single" w:color="D7DEE5" w:sz="6" w:space="0"/>
              <w:insideH w:val="single" w:color="D7DEE5" w:sz="6" w:space="0"/>
              <w:insideV w:val="single" w:color="D7DEE5" w:sz="6" w:space="0"/>
            </w:tcBorders>
            <w:vAlign w:val="center"/>
          </w:tcPr>
          <w:p w14:paraId="00100104" w14:textId="00100105"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Да / нет</w:t>
            </w:r>
          </w:p>
        </w:tc>
        <w:tc>
          <w:tcPr>
            <w:tcW w:w="5216" w:type="dxa"/>
            <w:shd w:fill="1F4E79"/>
            <w:tcBorders>
              <w:top w:val="single" w:color="D7DEE5" w:sz="6" w:space="0"/>
              <w:left w:val="single" w:color="D7DEE5" w:sz="6" w:space="0"/>
              <w:bottom w:val="single" w:color="D7DEE5" w:sz="6" w:space="0"/>
              <w:right w:val="single" w:color="D7DEE5" w:sz="6" w:space="0"/>
              <w:insideH w:val="single" w:color="D7DEE5" w:sz="6" w:space="0"/>
              <w:insideV w:val="single" w:color="D7DEE5" w:sz="6" w:space="0"/>
            </w:tcBorders>
            <w:vAlign w:val="center"/>
          </w:tcPr>
          <w:p w14:paraId="00100106" w14:textId="00100107"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Что должно быть видно</w:t>
            </w:r>
          </w:p>
        </w:tc>
      </w:tr>
      <w:tr>
        <w:tc>
          <w:tcPr>
            <w:tcW w:w="2891" w:type="dxa"/>
            <w:shd w:fill="FFFFFF"/>
            <w:tcBorders>
              <w:top w:val="single" w:color="D7DEE5" w:sz="4" w:space="0"/>
              <w:left w:val="single" w:color="D7DEE5" w:sz="4" w:space="0"/>
              <w:bottom w:val="single" w:color="D7DEE5" w:sz="4" w:space="0"/>
              <w:right w:val="single" w:color="D7DEE5" w:sz="4" w:space="0"/>
              <w:insideH w:val="single" w:color="D7DEE5" w:sz="4" w:space="0"/>
              <w:insideV w:val="single" w:color="D7DEE5" w:sz="4" w:space="0"/>
            </w:tcBorders>
            <w:vAlign w:val="center"/>
          </w:tcPr>
          <w:p w14:paraId="00100108" w14:textId="00100109"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Есть владелец запроса.</w:t>
            </w:r>
          </w:p>
        </w:tc>
        <w:tc>
          <w:tcPr>
            <w:tcW w:w="1191" w:type="dxa"/>
            <w:shd w:fill="FFFFFF"/>
            <w:tcBorders>
              <w:top w:val="single" w:color="D7DEE5" w:sz="4" w:space="0"/>
              <w:left w:val="single" w:color="D7DEE5" w:sz="4" w:space="0"/>
              <w:bottom w:val="single" w:color="D7DEE5" w:sz="4" w:space="0"/>
              <w:right w:val="single" w:color="D7DEE5" w:sz="4" w:space="0"/>
              <w:insideH w:val="single" w:color="D7DEE5" w:sz="4" w:space="0"/>
              <w:insideV w:val="single" w:color="D7DEE5" w:sz="4" w:space="0"/>
            </w:tcBorders>
            <w:vAlign w:val="center"/>
          </w:tcPr>
          <w:p w14:paraId="0010010A" w14:textId="0010010B"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</w:r>
          </w:p>
        </w:tc>
        <w:tc>
          <w:tcPr>
            <w:tcW w:w="5216" w:type="dxa"/>
            <w:shd w:fill="FFFFFF"/>
            <w:tcBorders>
              <w:top w:val="single" w:color="D7DEE5" w:sz="4" w:space="0"/>
              <w:left w:val="single" w:color="D7DEE5" w:sz="4" w:space="0"/>
              <w:bottom w:val="single" w:color="D7DEE5" w:sz="4" w:space="0"/>
              <w:right w:val="single" w:color="D7DEE5" w:sz="4" w:space="0"/>
              <w:insideH w:val="single" w:color="D7DEE5" w:sz="4" w:space="0"/>
              <w:insideV w:val="single" w:color="D7DEE5" w:sz="4" w:space="0"/>
            </w:tcBorders>
            <w:vAlign w:val="center"/>
          </w:tcPr>
          <w:p w14:paraId="0010010C" w14:textId="0010010D"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Фамилия или роль, право подтверждать результат.</w:t>
            </w:r>
          </w:p>
        </w:tc>
      </w:tr>
      <w:tr>
        <w:tc>
          <w:tcPr>
            <w:tcW w:w="2891" w:type="dxa"/>
            <w:shd w:fill="F3F5F7"/>
            <w:tcBorders>
              <w:top w:val="single" w:color="D7DEE5" w:sz="4" w:space="0"/>
              <w:left w:val="single" w:color="D7DEE5" w:sz="4" w:space="0"/>
              <w:bottom w:val="single" w:color="D7DEE5" w:sz="4" w:space="0"/>
              <w:right w:val="single" w:color="D7DEE5" w:sz="4" w:space="0"/>
              <w:insideH w:val="single" w:color="D7DEE5" w:sz="4" w:space="0"/>
              <w:insideV w:val="single" w:color="D7DEE5" w:sz="4" w:space="0"/>
            </w:tcBorders>
            <w:vAlign w:val="center"/>
          </w:tcPr>
          <w:p w14:paraId="0010010E" w14:textId="0010010F"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Есть доступ к первому управленческому кругу.</w:t>
            </w:r>
          </w:p>
        </w:tc>
        <w:tc>
          <w:tcPr>
            <w:tcW w:w="1191" w:type="dxa"/>
            <w:shd w:fill="F3F5F7"/>
            <w:tcBorders>
              <w:top w:val="single" w:color="D7DEE5" w:sz="4" w:space="0"/>
              <w:left w:val="single" w:color="D7DEE5" w:sz="4" w:space="0"/>
              <w:bottom w:val="single" w:color="D7DEE5" w:sz="4" w:space="0"/>
              <w:right w:val="single" w:color="D7DEE5" w:sz="4" w:space="0"/>
              <w:insideH w:val="single" w:color="D7DEE5" w:sz="4" w:space="0"/>
              <w:insideV w:val="single" w:color="D7DEE5" w:sz="4" w:space="0"/>
            </w:tcBorders>
            <w:vAlign w:val="center"/>
          </w:tcPr>
          <w:p w14:paraId="00100110" w14:textId="00100111"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</w:r>
          </w:p>
        </w:tc>
        <w:tc>
          <w:tcPr>
            <w:tcW w:w="5216" w:type="dxa"/>
            <w:shd w:fill="F3F5F7"/>
            <w:tcBorders>
              <w:top w:val="single" w:color="D7DEE5" w:sz="4" w:space="0"/>
              <w:left w:val="single" w:color="D7DEE5" w:sz="4" w:space="0"/>
              <w:bottom w:val="single" w:color="D7DEE5" w:sz="4" w:space="0"/>
              <w:right w:val="single" w:color="D7DEE5" w:sz="4" w:space="0"/>
              <w:insideH w:val="single" w:color="D7DEE5" w:sz="4" w:space="0"/>
              <w:insideV w:val="single" w:color="D7DEE5" w:sz="4" w:space="0"/>
            </w:tcBorders>
            <w:vAlign w:val="center"/>
          </w:tcPr>
          <w:p w14:paraId="00100112" w14:textId="00100113"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CEO / генеральный директор, ключевые директора, данные, документы.</w:t>
            </w:r>
          </w:p>
        </w:tc>
      </w:tr>
      <w:tr>
        <w:tc>
          <w:tcPr>
            <w:tcW w:w="2891" w:type="dxa"/>
            <w:shd w:fill="FFFFFF"/>
            <w:tcBorders>
              <w:top w:val="single" w:color="D7DEE5" w:sz="4" w:space="0"/>
              <w:left w:val="single" w:color="D7DEE5" w:sz="4" w:space="0"/>
              <w:bottom w:val="single" w:color="D7DEE5" w:sz="4" w:space="0"/>
              <w:right w:val="single" w:color="D7DEE5" w:sz="4" w:space="0"/>
              <w:insideH w:val="single" w:color="D7DEE5" w:sz="4" w:space="0"/>
              <w:insideV w:val="single" w:color="D7DEE5" w:sz="4" w:space="0"/>
            </w:tcBorders>
            <w:vAlign w:val="center"/>
          </w:tcPr>
          <w:p w14:paraId="00100114" w14:textId="00100115"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Есть право на честный вывод.</w:t>
            </w:r>
          </w:p>
        </w:tc>
        <w:tc>
          <w:tcPr>
            <w:tcW w:w="1191" w:type="dxa"/>
            <w:shd w:fill="FFFFFF"/>
            <w:tcBorders>
              <w:top w:val="single" w:color="D7DEE5" w:sz="4" w:space="0"/>
              <w:left w:val="single" w:color="D7DEE5" w:sz="4" w:space="0"/>
              <w:bottom w:val="single" w:color="D7DEE5" w:sz="4" w:space="0"/>
              <w:right w:val="single" w:color="D7DEE5" w:sz="4" w:space="0"/>
              <w:insideH w:val="single" w:color="D7DEE5" w:sz="4" w:space="0"/>
              <w:insideV w:val="single" w:color="D7DEE5" w:sz="4" w:space="0"/>
            </w:tcBorders>
            <w:vAlign w:val="center"/>
          </w:tcPr>
          <w:p w14:paraId="00100116" w14:textId="00100117"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</w:r>
          </w:p>
        </w:tc>
        <w:tc>
          <w:tcPr>
            <w:tcW w:w="5216" w:type="dxa"/>
            <w:shd w:fill="FFFFFF"/>
            <w:tcBorders>
              <w:top w:val="single" w:color="D7DEE5" w:sz="4" w:space="0"/>
              <w:left w:val="single" w:color="D7DEE5" w:sz="4" w:space="0"/>
              <w:bottom w:val="single" w:color="D7DEE5" w:sz="4" w:space="0"/>
              <w:right w:val="single" w:color="D7DEE5" w:sz="4" w:space="0"/>
              <w:insideH w:val="single" w:color="D7DEE5" w:sz="4" w:space="0"/>
              <w:insideV w:val="single" w:color="D7DEE5" w:sz="4" w:space="0"/>
            </w:tcBorders>
            <w:vAlign w:val="center"/>
          </w:tcPr>
          <w:p w14:paraId="00100118" w14:textId="00100119"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Клиент принимает, что результатом может быть Stop / остановка.</w:t>
            </w:r>
          </w:p>
        </w:tc>
      </w:tr>
      <w:tr>
        <w:tc>
          <w:tcPr>
            <w:tcW w:w="2891" w:type="dxa"/>
            <w:shd w:fill="F3F5F7"/>
            <w:tcBorders>
              <w:top w:val="single" w:color="D7DEE5" w:sz="4" w:space="0"/>
              <w:left w:val="single" w:color="D7DEE5" w:sz="4" w:space="0"/>
              <w:bottom w:val="single" w:color="D7DEE5" w:sz="4" w:space="0"/>
              <w:right w:val="single" w:color="D7DEE5" w:sz="4" w:space="0"/>
              <w:insideH w:val="single" w:color="D7DEE5" w:sz="4" w:space="0"/>
              <w:insideV w:val="single" w:color="D7DEE5" w:sz="4" w:space="0"/>
            </w:tcBorders>
            <w:vAlign w:val="center"/>
          </w:tcPr>
          <w:p w14:paraId="0010011A" w14:textId="0010011B"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Платная Диагностика не заменена бесплатным аудитом.</w:t>
            </w:r>
          </w:p>
        </w:tc>
        <w:tc>
          <w:tcPr>
            <w:tcW w:w="1191" w:type="dxa"/>
            <w:shd w:fill="F3F5F7"/>
            <w:tcBorders>
              <w:top w:val="single" w:color="D7DEE5" w:sz="4" w:space="0"/>
              <w:left w:val="single" w:color="D7DEE5" w:sz="4" w:space="0"/>
              <w:bottom w:val="single" w:color="D7DEE5" w:sz="4" w:space="0"/>
              <w:right w:val="single" w:color="D7DEE5" w:sz="4" w:space="0"/>
              <w:insideH w:val="single" w:color="D7DEE5" w:sz="4" w:space="0"/>
              <w:insideV w:val="single" w:color="D7DEE5" w:sz="4" w:space="0"/>
            </w:tcBorders>
            <w:vAlign w:val="center"/>
          </w:tcPr>
          <w:p w14:paraId="0010011C" w14:textId="0010011D"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</w:r>
          </w:p>
        </w:tc>
        <w:tc>
          <w:tcPr>
            <w:tcW w:w="5216" w:type="dxa"/>
            <w:shd w:fill="F3F5F7"/>
            <w:tcBorders>
              <w:top w:val="single" w:color="D7DEE5" w:sz="4" w:space="0"/>
              <w:left w:val="single" w:color="D7DEE5" w:sz="4" w:space="0"/>
              <w:bottom w:val="single" w:color="D7DEE5" w:sz="4" w:space="0"/>
              <w:right w:val="single" w:color="D7DEE5" w:sz="4" w:space="0"/>
              <w:insideH w:val="single" w:color="D7DEE5" w:sz="4" w:space="0"/>
              <w:insideV w:val="single" w:color="D7DEE5" w:sz="4" w:space="0"/>
            </w:tcBorders>
            <w:vAlign w:val="center"/>
          </w:tcPr>
          <w:p w14:paraId="0010011E" w14:textId="0010011F"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Подтверждены условия входа.</w:t>
            </w:r>
          </w:p>
        </w:tc>
      </w:tr>
      <w:tr>
        <w:tc>
          <w:tcPr>
            <w:tcW w:w="2891" w:type="dxa"/>
            <w:shd w:fill="FFFFFF"/>
            <w:tcBorders>
              <w:top w:val="single" w:color="D7DEE5" w:sz="4" w:space="0"/>
              <w:left w:val="single" w:color="D7DEE5" w:sz="4" w:space="0"/>
              <w:bottom w:val="single" w:color="D7DEE5" w:sz="4" w:space="0"/>
              <w:right w:val="single" w:color="D7DEE5" w:sz="4" w:space="0"/>
              <w:insideH w:val="single" w:color="D7DEE5" w:sz="4" w:space="0"/>
              <w:insideV w:val="single" w:color="D7DEE5" w:sz="4" w:space="0"/>
            </w:tcBorders>
            <w:vAlign w:val="center"/>
          </w:tcPr>
          <w:p w14:paraId="00100120" w14:textId="00100121"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Следующий продукт запускается только после gate / контрольного перехода.</w:t>
            </w:r>
          </w:p>
        </w:tc>
        <w:tc>
          <w:tcPr>
            <w:tcW w:w="1191" w:type="dxa"/>
            <w:shd w:fill="FFFFFF"/>
            <w:tcBorders>
              <w:top w:val="single" w:color="D7DEE5" w:sz="4" w:space="0"/>
              <w:left w:val="single" w:color="D7DEE5" w:sz="4" w:space="0"/>
              <w:bottom w:val="single" w:color="D7DEE5" w:sz="4" w:space="0"/>
              <w:right w:val="single" w:color="D7DEE5" w:sz="4" w:space="0"/>
              <w:insideH w:val="single" w:color="D7DEE5" w:sz="4" w:space="0"/>
              <w:insideV w:val="single" w:color="D7DEE5" w:sz="4" w:space="0"/>
            </w:tcBorders>
            <w:vAlign w:val="center"/>
          </w:tcPr>
          <w:p w14:paraId="00100122" w14:textId="00100123"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</w:r>
          </w:p>
        </w:tc>
        <w:tc>
          <w:tcPr>
            <w:tcW w:w="5216" w:type="dxa"/>
            <w:shd w:fill="FFFFFF"/>
            <w:tcBorders>
              <w:top w:val="single" w:color="D7DEE5" w:sz="4" w:space="0"/>
              <w:left w:val="single" w:color="D7DEE5" w:sz="4" w:space="0"/>
              <w:bottom w:val="single" w:color="D7DEE5" w:sz="4" w:space="0"/>
              <w:right w:val="single" w:color="D7DEE5" w:sz="4" w:space="0"/>
              <w:insideH w:val="single" w:color="D7DEE5" w:sz="4" w:space="0"/>
              <w:insideV w:val="single" w:color="D7DEE5" w:sz="4" w:space="0"/>
            </w:tcBorders>
            <w:vAlign w:val="center"/>
          </w:tcPr>
          <w:p w14:paraId="00100124" w14:textId="00100125"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Есть выход предыдущего продукта.</w:t>
            </w:r>
          </w:p>
        </w:tc>
      </w:tr>
    </w:tbl>
    <w:p w14:paraId="00100126" w14:textId="00100127">
      <w:pPr>
        <w:spacing w:after="40" w:line="259" w:lineRule="auto"/>
      </w:pPr>
      <w:r>
        <w:rPr>
          <w:rFonts w:ascii="Arial" w:hAnsi="Arial" w:eastAsia="Arial"/>
          <w:b w:val="0"/>
          <w:color w:val="1F2937"/>
          <w:sz w:val="20"/>
        </w:rPr>
      </w:r>
    </w:p>
    <w:p w14:paraId="00100128" w14:textId="00100129">
      <w:pPr>
        <w:spacing w:before="240" w:after="140"/>
      </w:pPr>
      <w:r>
        <w:rPr>
          <w:rFonts w:ascii="Arial" w:hAnsi="Arial" w:eastAsia="Arial"/>
          <w:b/>
          <w:color w:val="163247"/>
          <w:sz w:val="32"/>
        </w:rPr>
        <w:t>8. Используемые актуальные файлы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85"/>
        <w:gridCol w:w="5185"/>
      </w:tblGrid>
      <w:tr>
        <w:tc>
          <w:tcPr>
            <w:tcW w:w="1928" w:type="dxa"/>
            <w:shd w:fill="1F4E79"/>
            <w:tcBorders>
              <w:top w:val="single" w:color="D7DEE5" w:sz="6" w:space="0"/>
              <w:left w:val="single" w:color="D7DEE5" w:sz="6" w:space="0"/>
              <w:bottom w:val="single" w:color="D7DEE5" w:sz="6" w:space="0"/>
              <w:right w:val="single" w:color="D7DEE5" w:sz="6" w:space="0"/>
              <w:insideH w:val="single" w:color="D7DEE5" w:sz="6" w:space="0"/>
              <w:insideV w:val="single" w:color="D7DEE5" w:sz="6" w:space="0"/>
            </w:tcBorders>
            <w:vAlign w:val="center"/>
          </w:tcPr>
          <w:p w14:paraId="0010012A" w14:textId="0010012B"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Слой</w:t>
            </w:r>
          </w:p>
        </w:tc>
        <w:tc>
          <w:tcPr>
            <w:tcW w:w="7483" w:type="dxa"/>
            <w:shd w:fill="1F4E79"/>
            <w:tcBorders>
              <w:top w:val="single" w:color="D7DEE5" w:sz="6" w:space="0"/>
              <w:left w:val="single" w:color="D7DEE5" w:sz="6" w:space="0"/>
              <w:bottom w:val="single" w:color="D7DEE5" w:sz="6" w:space="0"/>
              <w:right w:val="single" w:color="D7DEE5" w:sz="6" w:space="0"/>
              <w:insideH w:val="single" w:color="D7DEE5" w:sz="6" w:space="0"/>
              <w:insideV w:val="single" w:color="D7DEE5" w:sz="6" w:space="0"/>
            </w:tcBorders>
            <w:vAlign w:val="center"/>
          </w:tcPr>
          <w:p w14:paraId="0010012C" w14:textId="0010012D"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Файлы</w:t>
            </w:r>
          </w:p>
        </w:tc>
      </w:tr>
      <w:tr>
        <w:tc>
          <w:tcPr>
            <w:tcW w:w="1928" w:type="dxa"/>
            <w:shd w:fill="FFFFFF"/>
            <w:tcBorders>
              <w:top w:val="single" w:color="D7DEE5" w:sz="4" w:space="0"/>
              <w:left w:val="single" w:color="D7DEE5" w:sz="4" w:space="0"/>
              <w:bottom w:val="single" w:color="D7DEE5" w:sz="4" w:space="0"/>
              <w:right w:val="single" w:color="D7DEE5" w:sz="4" w:space="0"/>
              <w:insideH w:val="single" w:color="D7DEE5" w:sz="4" w:space="0"/>
              <w:insideV w:val="single" w:color="D7DEE5" w:sz="4" w:space="0"/>
            </w:tcBorders>
            <w:vAlign w:val="center"/>
          </w:tcPr>
          <w:p w14:paraId="0010012E" w14:textId="0010012F"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Методология</w:t>
            </w:r>
          </w:p>
        </w:tc>
        <w:tc>
          <w:tcPr>
            <w:tcW w:w="7483" w:type="dxa"/>
            <w:shd w:fill="FFFFFF"/>
            <w:tcBorders>
              <w:top w:val="single" w:color="D7DEE5" w:sz="4" w:space="0"/>
              <w:left w:val="single" w:color="D7DEE5" w:sz="4" w:space="0"/>
              <w:bottom w:val="single" w:color="D7DEE5" w:sz="4" w:space="0"/>
              <w:right w:val="single" w:color="D7DEE5" w:sz="4" w:space="0"/>
              <w:insideH w:val="single" w:color="D7DEE5" w:sz="4" w:space="0"/>
              <w:insideV w:val="single" w:color="D7DEE5" w:sz="4" w:space="0"/>
            </w:tcBorders>
            <w:vAlign w:val="center"/>
          </w:tcPr>
          <w:p w14:paraId="00100130" w14:textId="00100131"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Управление_Директорами_CLM_Методология_реализации_V1.docx; Управление_Директорами_CLM_Продуктовый_слой_реализации_V1.docx.</w:t>
            </w:r>
          </w:p>
        </w:tc>
      </w:tr>
      <w:tr>
        <w:tc>
          <w:tcPr>
            <w:tcW w:w="1928" w:type="dxa"/>
            <w:shd w:fill="F3F5F7"/>
            <w:tcBorders>
              <w:top w:val="single" w:color="D7DEE5" w:sz="4" w:space="0"/>
              <w:left w:val="single" w:color="D7DEE5" w:sz="4" w:space="0"/>
              <w:bottom w:val="single" w:color="D7DEE5" w:sz="4" w:space="0"/>
              <w:right w:val="single" w:color="D7DEE5" w:sz="4" w:space="0"/>
              <w:insideH w:val="single" w:color="D7DEE5" w:sz="4" w:space="0"/>
              <w:insideV w:val="single" w:color="D7DEE5" w:sz="4" w:space="0"/>
            </w:tcBorders>
            <w:vAlign w:val="center"/>
          </w:tcPr>
          <w:p w14:paraId="00100132" w14:textId="00100133"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Диагностика</w:t>
            </w:r>
          </w:p>
        </w:tc>
        <w:tc>
          <w:tcPr>
            <w:tcW w:w="7483" w:type="dxa"/>
            <w:shd w:fill="F3F5F7"/>
            <w:tcBorders>
              <w:top w:val="single" w:color="D7DEE5" w:sz="4" w:space="0"/>
              <w:left w:val="single" w:color="D7DEE5" w:sz="4" w:space="0"/>
              <w:bottom w:val="single" w:color="D7DEE5" w:sz="4" w:space="0"/>
              <w:right w:val="single" w:color="D7DEE5" w:sz="4" w:space="0"/>
              <w:insideH w:val="single" w:color="D7DEE5" w:sz="4" w:space="0"/>
              <w:insideV w:val="single" w:color="D7DEE5" w:sz="4" w:space="0"/>
            </w:tcBorders>
            <w:vAlign w:val="center"/>
          </w:tcPr>
          <w:p w14:paraId="00100134" w14:textId="00100135"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Продукт_01_Диагностика_внутренний_протокол_V1.docx; Продукт_01_Диагностика_рабочая_книга_V1.xlsx.</w:t>
            </w:r>
          </w:p>
        </w:tc>
      </w:tr>
      <w:tr>
        <w:tc>
          <w:tcPr>
            <w:tcW w:w="1928" w:type="dxa"/>
            <w:shd w:fill="FFFFFF"/>
            <w:tcBorders>
              <w:top w:val="single" w:color="D7DEE5" w:sz="4" w:space="0"/>
              <w:left w:val="single" w:color="D7DEE5" w:sz="4" w:space="0"/>
              <w:bottom w:val="single" w:color="D7DEE5" w:sz="4" w:space="0"/>
              <w:right w:val="single" w:color="D7DEE5" w:sz="4" w:space="0"/>
              <w:insideH w:val="single" w:color="D7DEE5" w:sz="4" w:space="0"/>
              <w:insideV w:val="single" w:color="D7DEE5" w:sz="4" w:space="0"/>
            </w:tcBorders>
            <w:vAlign w:val="center"/>
          </w:tcPr>
          <w:p w14:paraId="00100136" w14:textId="00100137"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Сессия</w:t>
            </w:r>
          </w:p>
        </w:tc>
        <w:tc>
          <w:tcPr>
            <w:tcW w:w="7483" w:type="dxa"/>
            <w:shd w:fill="FFFFFF"/>
            <w:tcBorders>
              <w:top w:val="single" w:color="D7DEE5" w:sz="4" w:space="0"/>
              <w:left w:val="single" w:color="D7DEE5" w:sz="4" w:space="0"/>
              <w:bottom w:val="single" w:color="D7DEE5" w:sz="4" w:space="0"/>
              <w:right w:val="single" w:color="D7DEE5" w:sz="4" w:space="0"/>
              <w:insideH w:val="single" w:color="D7DEE5" w:sz="4" w:space="0"/>
              <w:insideV w:val="single" w:color="D7DEE5" w:sz="4" w:space="0"/>
            </w:tcBorders>
            <w:vAlign w:val="center"/>
          </w:tcPr>
          <w:p w14:paraId="00100138" w14:textId="00100139"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Продукт_02_Сессия_внутренний_протокол_V1.docx; Продукт_02_Сессия_рабочая_книга_V1.xlsx.</w:t>
            </w:r>
          </w:p>
        </w:tc>
      </w:tr>
      <w:tr>
        <w:tc>
          <w:tcPr>
            <w:tcW w:w="1928" w:type="dxa"/>
            <w:shd w:fill="F3F5F7"/>
            <w:tcBorders>
              <w:top w:val="single" w:color="D7DEE5" w:sz="4" w:space="0"/>
              <w:left w:val="single" w:color="D7DEE5" w:sz="4" w:space="0"/>
              <w:bottom w:val="single" w:color="D7DEE5" w:sz="4" w:space="0"/>
              <w:right w:val="single" w:color="D7DEE5" w:sz="4" w:space="0"/>
              <w:insideH w:val="single" w:color="D7DEE5" w:sz="4" w:space="0"/>
              <w:insideV w:val="single" w:color="D7DEE5" w:sz="4" w:space="0"/>
            </w:tcBorders>
            <w:vAlign w:val="center"/>
          </w:tcPr>
          <w:p w14:paraId="0010013A" w14:textId="0010013B"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Спринт</w:t>
            </w:r>
          </w:p>
        </w:tc>
        <w:tc>
          <w:tcPr>
            <w:tcW w:w="7483" w:type="dxa"/>
            <w:shd w:fill="F3F5F7"/>
            <w:tcBorders>
              <w:top w:val="single" w:color="D7DEE5" w:sz="4" w:space="0"/>
              <w:left w:val="single" w:color="D7DEE5" w:sz="4" w:space="0"/>
              <w:bottom w:val="single" w:color="D7DEE5" w:sz="4" w:space="0"/>
              <w:right w:val="single" w:color="D7DEE5" w:sz="4" w:space="0"/>
              <w:insideH w:val="single" w:color="D7DEE5" w:sz="4" w:space="0"/>
              <w:insideV w:val="single" w:color="D7DEE5" w:sz="4" w:space="0"/>
            </w:tcBorders>
            <w:vAlign w:val="center"/>
          </w:tcPr>
          <w:p w14:paraId="0010013C" w14:textId="0010013D"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Продукт_03_Спринт_внутренний_протокол_V1.docx; Продукт_03_Спринт_рабочая_книга_V1.xlsx.</w:t>
            </w:r>
          </w:p>
        </w:tc>
      </w:tr>
      <w:tr>
        <w:tc>
          <w:tcPr>
            <w:tcW w:w="1928" w:type="dxa"/>
            <w:shd w:fill="FFFFFF"/>
            <w:tcBorders>
              <w:top w:val="single" w:color="D7DEE5" w:sz="4" w:space="0"/>
              <w:left w:val="single" w:color="D7DEE5" w:sz="4" w:space="0"/>
              <w:bottom w:val="single" w:color="D7DEE5" w:sz="4" w:space="0"/>
              <w:right w:val="single" w:color="D7DEE5" w:sz="4" w:space="0"/>
              <w:insideH w:val="single" w:color="D7DEE5" w:sz="4" w:space="0"/>
              <w:insideV w:val="single" w:color="D7DEE5" w:sz="4" w:space="0"/>
            </w:tcBorders>
            <w:vAlign w:val="center"/>
          </w:tcPr>
          <w:p w14:paraId="0010013E" w14:textId="0010013F"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Сопровождение</w:t>
            </w:r>
          </w:p>
        </w:tc>
        <w:tc>
          <w:tcPr>
            <w:tcW w:w="7483" w:type="dxa"/>
            <w:shd w:fill="FFFFFF"/>
            <w:tcBorders>
              <w:top w:val="single" w:color="D7DEE5" w:sz="4" w:space="0"/>
              <w:left w:val="single" w:color="D7DEE5" w:sz="4" w:space="0"/>
              <w:bottom w:val="single" w:color="D7DEE5" w:sz="4" w:space="0"/>
              <w:right w:val="single" w:color="D7DEE5" w:sz="4" w:space="0"/>
              <w:insideH w:val="single" w:color="D7DEE5" w:sz="4" w:space="0"/>
              <w:insideV w:val="single" w:color="D7DEE5" w:sz="4" w:space="0"/>
            </w:tcBorders>
            <w:vAlign w:val="center"/>
          </w:tcPr>
          <w:p w14:paraId="00100140" w14:textId="00100141"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Продукт_04_Сопровождение_внутренний_протокол_V1.docx; Продукт_04_Сопровождение_рабочая_книга_V1.xlsx; Контроль_качества_продуктовых_этапов_V1.xlsx.</w:t>
            </w:r>
          </w:p>
        </w:tc>
      </w:tr>
    </w:tbl>
    <w:p w14:paraId="00100142" w14:textId="00100143">
      <w:pPr>
        <w:spacing w:after="40" w:line="259" w:lineRule="auto"/>
      </w:pPr>
      <w:r>
        <w:rPr>
          <w:rFonts w:ascii="Arial" w:hAnsi="Arial" w:eastAsia="Arial"/>
          <w:b w:val="0"/>
          <w:color w:val="1F2937"/>
          <w:sz w:val="20"/>
        </w:rPr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0370"/>
      </w:tblGrid>
      <w:tr>
        <w:tc>
          <w:tcPr>
            <w:tcW w:w="10370" w:type="dxa"/>
            <w:shd w:fill="E6F4F1"/>
            <w:tcBorders>
              <w:top w:val="single" w:color="D7DEE5" w:sz="4" w:space="0"/>
              <w:left w:val="single" w:color="D7DEE5" w:sz="4" w:space="0"/>
              <w:bottom w:val="single" w:color="D7DEE5" w:sz="4" w:space="0"/>
              <w:right w:val="single" w:color="D7DEE5" w:sz="4" w:space="0"/>
              <w:insideH w:val="single" w:color="D7DEE5" w:sz="4" w:space="0"/>
              <w:insideV w:val="single" w:color="D7DEE5" w:sz="4" w:space="0"/>
            </w:tcBorders>
          </w:tcPr>
          <w:p w14:paraId="00100144" w14:textId="00100145">
            <w:pPr>
              <w:spacing w:after="40"/>
            </w:pPr>
            <w:r>
              <w:rPr>
                <w:rFonts w:ascii="Arial" w:hAnsi="Arial" w:eastAsia="Arial"/>
                <w:b/>
                <w:color w:val="163247"/>
                <w:sz w:val="20"/>
              </w:rPr>
              <w:t xml:space="preserve">Вердикт P1B. </w:t>
            </w:r>
            <w:r>
              <w:rPr>
                <w:rFonts w:ascii="Arial" w:hAnsi="Arial" w:eastAsia="Arial"/>
                <w:b w:val="0"/>
                <w:color w:val="1F2937"/>
                <w:sz w:val="20"/>
              </w:rPr>
              <w:t>Цепь продуктов проводима. Критическое условие релиза: не смешивать бесплатные коммерческие касания с платными продуктами и не запускать следующий продукт без выходного артефакта предыдущего.</w:t>
            </w:r>
          </w:p>
        </w:tc>
      </w:tr>
    </w:tbl>
    <w:p w14:paraId="00100146" w14:textId="00100147">
      <w:pPr>
        <w:spacing w:after="60" w:line="259" w:lineRule="auto"/>
      </w:pPr>
      <w:r>
        <w:rPr>
          <w:rFonts w:ascii="Arial" w:hAnsi="Arial" w:eastAsia="Arial"/>
          <w:b w:val="0"/>
          <w:color w:val="1F2937"/>
          <w:sz w:val="20"/>
        </w:rPr>
      </w:r>
    </w:p>
    <w:sectPr w:rsidRPr="0006063C" w:rsidR="00FC693F" w:rsidSect="00034616">
      <w:footerReference w:type="default" r:id="rId9"/>
      <w:pgSz w:w="12240" w:h="15840"/>
      <w:pgMar w:top="964" w:right="935" w:bottom="964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14:paraId="00100148" w14:textId="00100149">
    <w:pPr>
      <w:pStyle w:val="Footer"/>
      <w:jc w:val="center"/>
    </w:pPr>
    <w:r>
      <w:rPr>
        <w:rFonts w:ascii="Arial" w:hAnsi="Arial" w:eastAsia="Arial"/>
        <w:b w:val="0"/>
        <w:color w:val="6B7280"/>
        <w:sz w:val="16"/>
      </w:rPr>
      <w:t>Управление Директорами / CLM · Навигатор консультанта · P1B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1.0.156</vt:lpwstr>
  </op:property>
  <op:property fmtid="{D5CDD505-2E9C-101B-9397-08002B2CF9AE}" pid="3" name="OfficeCLI.LastModified">
    <vt:lpwstr xmlns:vt="http://schemas.openxmlformats.org/officeDocument/2006/docPropsVTypes">2026-10-12T13:42:26Z</vt:lpwstr>
  </op:property>
</op:Properties>
</file>