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fc8db4f132a14e70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jc w:val="left"/>
      </w:pPr>
      <w:r>
        <w:rPr>
          <w:b/>
          <w:color w:val="1F7A8C"/>
          <w:sz w:val="20"/>
        </w:rPr>
        <w:t>Управление Директорами</w:t>
      </w:r>
    </w:p>
    <w:p w14:paraId="00100002" w14:textId="00100003"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 w14:paraId="00100004" w14:textId="00100005">
      <w:pPr>
        <w:pStyle w:val="Title"/>
        <w:jc w:val="left"/>
      </w:pPr>
      <w:r>
        <w:t>Продуктовый слой реализации</w:t>
      </w:r>
    </w:p>
    <w:p w14:paraId="00100006" w14:textId="00100007">
      <w:r>
        <w:rPr>
          <w:color w:val="4A5568"/>
          <w:sz w:val="24"/>
        </w:rPr>
        <w:t>Как применять технологию CLM / C-Level Management через продукты Диагностика, Сессия, Спринт и Сопровождение.</w:t>
      </w:r>
    </w:p>
    <w:p w14:paraId="00100008" w14:textId="00100009">
      <w:r>
        <w:rPr>
          <w:rFonts w:ascii="Arial" w:hAnsi="Arial" w:eastAsia="Arial"/>
        </w:rPr>
        <w:t>Документ внутренний рабочий. Версия v1.</w:t>
      </w:r>
    </w:p>
    <w:p w14:paraId="0010000A" w14:textId="0010000B">
      <w:pPr>
        <w:pStyle w:val="Heading1"/>
      </w:pPr>
      <w:r>
        <w:t>1. Назначение документа</w:t>
      </w:r>
    </w:p>
    <w:p w14:paraId="0010000C" w14:textId="0010000D">
      <w:r>
        <w:t>Этот документ закрывает разрыв между описанием 12 блоков CLM и практической работой с клиентом. 12 блоков отвечают на вопрос, что именно проверяет и меняет технология. Продукты отвечают на вопрос, как это продается, запускается, проводится, контролируется и доводится до результата.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>
        <w:tc>
          <w:tcPr>
            <w:tcW w:w="10368" w:type="dxa"/>
            <w:shd w:fill="E6F4F1"/>
            <w:tcBorders>
              <w:top w:val="single" w:color="B7D9D2" w:sz="6" w:space="0"/>
              <w:left w:val="single" w:color="B7D9D2" w:sz="6" w:space="0"/>
              <w:bottom w:val="single" w:color="B7D9D2" w:sz="6" w:space="0"/>
              <w:right w:val="single" w:color="B7D9D2" w:sz="6" w:space="0"/>
            </w:tcBorders>
          </w:tcPr>
          <w:p w14:paraId="0010000E" w14:textId="0010000F">
            <w:r/>
            <w:r>
              <w:rPr>
                <w:b/>
                <w:color w:val="16324F"/>
                <w:sz w:val="20"/>
              </w:rPr>
              <w:t>Ключевое правило</w:t>
            </w:r>
          </w:p>
          <w:p w14:paraId="00100010" w14:textId="00100011">
            <w:r>
              <w:rPr>
                <w:sz w:val="18"/>
              </w:rPr>
              <w:t>Коммерческое название продукта — Управление Директорами. CLM / C-Level Management остается технологическим основанием, внутренним языком методологии и базой 12 блоков.</w:t>
            </w:r>
          </w:p>
        </w:tc>
      </w:tr>
    </w:tbl>
    <w:p w14:paraId="00100012" w14:textId="00100013">
      <w:r>
        <w:drawing>
          <wp:inline xmlns:a="http://schemas.openxmlformats.org/drawingml/2006/main" xmlns:pic="http://schemas.openxmlformats.org/drawingml/2006/picture">
            <wp:extent cx="6583680" cy="2282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2823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14" w14:textId="00100015">
      <w:pPr>
        <w:pStyle w:val="Heading1"/>
      </w:pPr>
      <w:r>
        <w:t>2. Логика цепи продуктов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w="180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6" w14:textId="00100017">
            <w:r>
              <w:rPr>
                <w:b/>
                <w:color w:val="FFFFFF"/>
                <w:sz w:val="18"/>
              </w:rPr>
              <w:t>Продукт</w:t>
            </w:r>
          </w:p>
        </w:tc>
        <w:tc>
          <w:tcPr>
            <w:tcW w:w="172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8" w14:textId="00100019"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288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A" w14:textId="0010001B">
            <w:r>
              <w:rPr>
                <w:b/>
                <w:color w:val="FFFFFF"/>
                <w:sz w:val="18"/>
              </w:rPr>
              <w:t>Главная задача</w:t>
            </w:r>
          </w:p>
        </w:tc>
        <w:tc>
          <w:tcPr>
            <w:tcW w:w="252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C" w14:textId="0010001D">
            <w:r>
              <w:rPr>
                <w:b/>
                <w:color w:val="FFFFFF"/>
                <w:sz w:val="18"/>
              </w:rPr>
              <w:t>Результат</w:t>
            </w:r>
          </w:p>
        </w:tc>
        <w:tc>
          <w:tcPr>
            <w:tcW w:w="2016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E" w14:textId="0010001F">
            <w:r>
              <w:rPr>
                <w:b/>
                <w:color w:val="FFFFFF"/>
                <w:sz w:val="18"/>
              </w:rPr>
              <w:t>Следующий шаг</w:t>
            </w:r>
          </w:p>
        </w:tc>
      </w:tr>
      <w:tr>
        <w:tc>
          <w:tcPr>
            <w:tcW w:w="18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0" w14:textId="00100021">
            <w:r>
              <w:rPr>
                <w:sz w:val="18"/>
              </w:rPr>
              <w:t>Диагностика</w:t>
            </w:r>
          </w:p>
        </w:tc>
        <w:tc>
          <w:tcPr>
            <w:tcW w:w="172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2" w14:textId="00100023">
            <w:r>
              <w:rPr>
                <w:sz w:val="18"/>
              </w:rPr>
              <w:t>Обязательная и платная</w:t>
            </w:r>
          </w:p>
        </w:tc>
        <w:tc>
          <w:tcPr>
            <w:tcW w:w="28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4" w14:textId="00100025">
            <w:r>
              <w:rPr>
                <w:sz w:val="18"/>
              </w:rPr>
              <w:t>Понять, есть ли управленческая проблема, мандат, владельцы и право продолжать</w:t>
            </w:r>
          </w:p>
        </w:tc>
        <w:tc>
          <w:tcPr>
            <w:tcW w:w="252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6" w14:textId="00100027">
            <w:r>
              <w:rPr>
                <w:sz w:val="18"/>
              </w:rPr>
              <w:t>Вердикт: продолжать / продолжать при условиях / отложить / отказать</w:t>
            </w:r>
          </w:p>
        </w:tc>
        <w:tc>
          <w:tcPr>
            <w:tcW w:w="201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8" w14:textId="00100029">
            <w:r>
              <w:rPr>
                <w:sz w:val="18"/>
              </w:rPr>
              <w:t>Сессия или Stop / остановка</w:t>
            </w:r>
          </w:p>
        </w:tc>
      </w:tr>
      <w:tr>
        <w:tc>
          <w:tcPr>
            <w:tcW w:w="18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A" w14:textId="0010002B">
            <w:r>
              <w:rPr>
                <w:sz w:val="18"/>
              </w:rPr>
              <w:t>Сессия</w:t>
            </w:r>
          </w:p>
        </w:tc>
        <w:tc>
          <w:tcPr>
            <w:tcW w:w="172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C" w14:textId="0010002D">
            <w:r>
              <w:rPr>
                <w:sz w:val="18"/>
              </w:rPr>
              <w:t>Запускается после диагностики</w:t>
            </w:r>
          </w:p>
        </w:tc>
        <w:tc>
          <w:tcPr>
            <w:tcW w:w="28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E" w14:textId="0010002F">
            <w:r>
              <w:rPr>
                <w:sz w:val="18"/>
              </w:rPr>
              <w:t>Собрать активный набор решений и не распыляться на всю карту проблем</w:t>
            </w:r>
          </w:p>
        </w:tc>
        <w:tc>
          <w:tcPr>
            <w:tcW w:w="252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0" w14:textId="00100031">
            <w:r>
              <w:rPr>
                <w:sz w:val="18"/>
              </w:rPr>
              <w:t>Паспорт Спринта</w:t>
            </w:r>
          </w:p>
        </w:tc>
        <w:tc>
          <w:tcPr>
            <w:tcW w:w="201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>
            <w:r>
              <w:t>Спринт с консультантом / самостоятельная реализация заказчиком</w:t>
            </w:r>
          </w:p>
        </w:tc>
      </w:tr>
      <w:tr>
        <w:tc>
          <w:tcPr>
            <w:tcW w:w="18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4" w14:textId="00100035">
            <w:r>
              <w:rPr>
                <w:sz w:val="18"/>
              </w:rPr>
              <w:t>Спринт</w:t>
            </w:r>
          </w:p>
        </w:tc>
        <w:tc>
          <w:tcPr>
            <w:tcW w:w="172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6" w14:textId="00100037">
            <w:r>
              <w:rPr>
                <w:sz w:val="18"/>
              </w:rPr>
              <w:t>Проект реализации</w:t>
            </w:r>
          </w:p>
        </w:tc>
        <w:tc>
          <w:tcPr>
            <w:tcW w:w="28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8" w14:textId="00100039">
            <w:r>
              <w:rPr>
                <w:sz w:val="18"/>
              </w:rPr>
              <w:t>Довести выбранное решение до фактического внедрения</w:t>
            </w:r>
          </w:p>
        </w:tc>
        <w:tc>
          <w:tcPr>
            <w:tcW w:w="252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A" w14:textId="0010003B">
            <w:r>
              <w:rPr>
                <w:sz w:val="18"/>
              </w:rPr>
              <w:t>Реализованный проект и рабочие артефакты</w:t>
            </w:r>
          </w:p>
        </w:tc>
        <w:tc>
          <w:tcPr>
            <w:tcW w:w="201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C" w14:textId="0010003D">
            <w:r>
              <w:rPr>
                <w:sz w:val="18"/>
              </w:rPr>
              <w:t>Сопровождение или завершение</w:t>
            </w:r>
          </w:p>
        </w:tc>
      </w:tr>
      <w:tr>
        <w:tc>
          <w:tcPr>
            <w:tcW w:w="18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E" w14:textId="0010003F">
            <w:r>
              <w:rPr>
                <w:sz w:val="18"/>
              </w:rPr>
              <w:t>Сопровождение</w:t>
            </w:r>
          </w:p>
        </w:tc>
        <w:tc>
          <w:tcPr>
            <w:tcW w:w="172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0" w14:textId="00100041">
            <w:r>
              <w:rPr>
                <w:sz w:val="18"/>
              </w:rPr>
              <w:t>Не обязательно, но методологически желательно</w:t>
            </w:r>
          </w:p>
        </w:tc>
        <w:tc>
          <w:tcPr>
            <w:tcW w:w="28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2" w14:textId="00100043">
            <w:r>
              <w:rPr>
                <w:sz w:val="18"/>
              </w:rPr>
              <w:t>Проверить удержание результата и отклонения после Спринта</w:t>
            </w:r>
          </w:p>
        </w:tc>
        <w:tc>
          <w:tcPr>
            <w:tcW w:w="252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4" w14:textId="00100045">
            <w:r>
              <w:rPr>
                <w:sz w:val="18"/>
              </w:rPr>
              <w:t>Решение о следующем цикле</w:t>
            </w:r>
          </w:p>
        </w:tc>
        <w:tc>
          <w:tcPr>
            <w:tcW w:w="201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6" w14:textId="00100047">
            <w:r>
              <w:rPr>
                <w:sz w:val="18"/>
              </w:rPr>
              <w:t>Удержание / корректировка / масштабирование / завершение</w:t>
            </w:r>
          </w:p>
        </w:tc>
      </w:tr>
    </w:tbl>
    <w:p w14:paraId="00100048" w14:textId="00100049">
      <w:pPr>
        <w:pStyle w:val="Heading1"/>
      </w:pPr>
      <w:r>
        <w:t>3. Связь продуктов с 12 блоками</w:t>
      </w:r>
    </w:p>
    <w:p w14:paraId="0010004A" w14:textId="0010004B">
      <w:r>
        <w:drawing>
          <wp:inline xmlns:a="http://schemas.openxmlformats.org/drawingml/2006/main" xmlns:pic="http://schemas.openxmlformats.org/drawingml/2006/picture">
            <wp:extent cx="6583680" cy="3599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s_products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990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4C" w14:textId="0010004D">
      <w:r>
        <w:t>Смысл матрицы: блоки не превращаются в отдельные продажи. Они становятся рабочими линзами внутри продуктовой цепи. Это сохраняет силу CLM и не перегружает клиента устройством технологии раньше времени.</w:t>
      </w:r>
    </w:p>
    <w:p w14:paraId="0010004E" w14:textId="0010004F">
      <w:pPr>
        <w:pStyle w:val="Heading1"/>
      </w:pPr>
      <w:r>
        <w:t>4. Что входит в комплект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c>
          <w:tcPr>
            <w:tcW w:w="2016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0" w14:textId="00100051">
            <w:r>
              <w:rPr>
                <w:b/>
                <w:color w:val="FFFFFF"/>
                <w:sz w:val="18"/>
              </w:rPr>
              <w:t>Продукт</w:t>
            </w:r>
          </w:p>
        </w:tc>
        <w:tc>
          <w:tcPr>
            <w:tcW w:w="316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2" w14:textId="00100053">
            <w:r>
              <w:rPr>
                <w:b/>
                <w:color w:val="FFFFFF"/>
                <w:sz w:val="18"/>
              </w:rPr>
              <w:t>Роль в цепи</w:t>
            </w:r>
          </w:p>
        </w:tc>
        <w:tc>
          <w:tcPr>
            <w:tcW w:w="259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4" w14:textId="00100055">
            <w:r>
              <w:rPr>
                <w:b/>
                <w:color w:val="FFFFFF"/>
                <w:sz w:val="18"/>
              </w:rPr>
              <w:t>Вход</w:t>
            </w:r>
          </w:p>
        </w:tc>
        <w:tc>
          <w:tcPr>
            <w:tcW w:w="259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6" w14:textId="00100057">
            <w:r>
              <w:rPr>
                <w:b/>
                <w:color w:val="FFFFFF"/>
                <w:sz w:val="18"/>
              </w:rPr>
              <w:t>Выход</w:t>
            </w:r>
          </w:p>
        </w:tc>
      </w:tr>
      <w:tr>
        <w:tc>
          <w:tcPr>
            <w:tcW w:w="201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8" w14:textId="00100059">
            <w:r>
              <w:rPr>
                <w:sz w:val="18"/>
              </w:rPr>
              <w:t>Управление Директорами. Диагностика</w:t>
            </w:r>
          </w:p>
        </w:tc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A" w14:textId="0010005B">
            <w:r>
              <w:rPr>
                <w:sz w:val="18"/>
              </w:rPr>
              <w:t>Первое и единственное обязательное звено цепи. Платность дисциплинирует клиента, отсекает случайный спрос и дает право на честный отказ от дальнейшей работы.</w:t>
            </w:r>
          </w:p>
        </w:tc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C" w14:textId="0010005D">
            <w:r>
              <w:rPr>
                <w:sz w:val="18"/>
              </w:rPr>
              <w:t>Первичный запрос собственника, CEO / генерального директора, Board / совета директоров или C-level-команды.</w:t>
            </w:r>
          </w:p>
        </w:tc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E" w14:textId="0010005F">
            <w:r>
              <w:rPr>
                <w:sz w:val="18"/>
              </w:rPr>
              <w:t>Протокол вердикта: продолжать к Сессии, продолжать при условиях, отложить или отказать от дальнейшей работы.</w:t>
            </w:r>
          </w:p>
        </w:tc>
      </w:tr>
      <w:tr>
        <w:tc>
          <w:tcPr>
            <w:tcW w:w="201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0" w14:textId="00100061">
            <w:r>
              <w:rPr>
                <w:sz w:val="18"/>
              </w:rPr>
              <w:t>Управление Директорами. Сессия</w:t>
            </w:r>
          </w:p>
        </w:tc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2" w14:textId="00100063">
            <w:r>
              <w:t>Сессия не является обсуждением всего найденного. Ее задача - выбрать, что реально делать дальше, кто владелец, какой эффект нужен, какой Спринт требуется и кто его реализует.</w:t>
            </w:r>
          </w:p>
        </w:tc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4" w14:textId="001000C8">
            <w:pPr/>
            <w:r>
              <w:rPr>
                <w:sz w:val="18"/>
              </w:rPr>
              <w:t xml:space="preserve">Вердикт Диагностики GO либо GO при условиях после документального закрытия всех условий перехода.</w:t>
            </w:r>
          </w:p>
        </w:tc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6" w14:textId="00100067">
            <w:r>
              <w:rPr>
                <w:sz w:val="18"/>
              </w:rPr>
              <w:t>Паспорт Спринта: активный набор решений, владельцы, условия запуска, условия остановки, ожидаемый результат.</w:t>
            </w:r>
          </w:p>
        </w:tc>
      </w:tr>
      <w:tr>
        <w:tc>
          <w:tcPr>
            <w:tcW w:w="201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8" w14:textId="00100069">
            <w:r>
              <w:rPr>
                <w:sz w:val="18"/>
              </w:rPr>
              <w:t>Управление Директорами. Спринт</w:t>
            </w:r>
          </w:p>
        </w:tc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A" w14:textId="0010006B">
            <w:r>
              <w:rPr>
                <w:sz w:val="18"/>
              </w:rPr>
              <w:t>Спринт берет один или несколько приоритетов из Сессии и превращает их в работающие правила, артефакты, ритмы, решения и контроль.</w:t>
            </w:r>
          </w:p>
        </w:tc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C" w14:textId="001000C9">
            <w:pPr/>
            <w:r>
              <w:rPr>
                <w:sz w:val="18"/>
              </w:rPr>
              <w:t xml:space="preserve">Полный и утвержденный Паспорт Спринта: активный контур, владельцы эффекта, решения и данных, метрики, границы, условия запуска и остановки.</w:t>
            </w:r>
          </w:p>
        </w:tc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E" w14:textId="0010006F">
            <w:r>
              <w:rPr>
                <w:sz w:val="18"/>
              </w:rPr>
              <w:t>Реализованный проект: принятое решение, внедренный артефакт, новый ритм, обновленная панель или дорожная карта.</w:t>
            </w:r>
          </w:p>
        </w:tc>
      </w:tr>
      <w:tr>
        <w:tc>
          <w:tcPr>
            <w:tcW w:w="201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0" w14:textId="00100071">
            <w:r>
              <w:rPr>
                <w:sz w:val="18"/>
              </w:rPr>
              <w:t>Управление Директорами. Сопровождение</w:t>
            </w:r>
          </w:p>
        </w:tc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2" w14:textId="00100073">
            <w:r>
              <w:rPr>
                <w:sz w:val="18"/>
              </w:rPr>
              <w:t>Сопровождение не является обязательным, но методология должна показывать клиенту цену отсутствия контроля после изменения.</w:t>
            </w:r>
          </w:p>
        </w:tc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4" w14:textId="001000CA">
            <w:pPr/>
            <w:r>
              <w:rPr>
                <w:sz w:val="18"/>
              </w:rPr>
              <w:t xml:space="preserve">Завершенный Спринт, минимум один внедренный результат, приемочные факты и подтвержденная необходимость контроля удержания.</w:t>
            </w:r>
          </w:p>
        </w:tc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6" w14:textId="00100077">
            <w:r>
              <w:rPr>
                <w:sz w:val="18"/>
              </w:rPr>
              <w:t>Решение о дальнейшем цикле: удерживать, корректировать, масштабировать, вернуться к Сессии или завершить работу.</w:t>
            </w:r>
          </w:p>
        </w:tc>
      </w:tr>
    </w:tbl>
    <w:p w14:paraId="00100078" w14:textId="00100079">
      <w:pPr>
        <w:pStyle w:val="Heading1"/>
      </w:pPr>
      <w:r>
        <w:t>5. Минимальный контроль качества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c>
          <w:tcPr>
            <w:tcW w:w="216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7A" w14:textId="0010007B">
            <w:r>
              <w:rPr>
                <w:b/>
                <w:color w:val="FFFFFF"/>
                <w:sz w:val="18"/>
              </w:rPr>
              <w:t>Контроль</w:t>
            </w:r>
          </w:p>
        </w:tc>
        <w:tc>
          <w:tcPr>
            <w:tcW w:w="3456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7C" w14:textId="0010007D">
            <w:r>
              <w:rPr>
                <w:b/>
                <w:color w:val="FFFFFF"/>
                <w:sz w:val="18"/>
              </w:rPr>
              <w:t>Запрет</w:t>
            </w:r>
          </w:p>
        </w:tc>
        <w:tc>
          <w:tcPr>
            <w:tcW w:w="432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7E" w14:textId="0010007F">
            <w:r>
              <w:rPr>
                <w:b/>
                <w:color w:val="FFFFFF"/>
                <w:sz w:val="18"/>
              </w:rPr>
              <w:t>Что должно быть в файлах</w:t>
            </w:r>
          </w:p>
        </w:tc>
      </w:tr>
      <w:tr>
        <w:tc>
          <w:tcPr>
            <w:tcW w:w="216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0" w14:textId="00100081">
            <w:r>
              <w:rPr>
                <w:sz w:val="18"/>
              </w:rPr>
              <w:t>Контроль входа</w:t>
            </w:r>
          </w:p>
        </w:tc>
        <w:tc>
          <w:tcPr>
            <w:tcW w:w="345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2" w14:textId="00100083">
            <w:r>
              <w:rPr>
                <w:sz w:val="18"/>
              </w:rPr>
              <w:t>Не начинать работу без владельца запроса и мандата</w:t>
            </w:r>
          </w:p>
        </w:tc>
        <w:tc>
          <w:tcPr>
            <w:tcW w:w="432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4" w14:textId="00100085">
            <w:r>
              <w:rPr>
                <w:sz w:val="18"/>
              </w:rPr>
              <w:t>Заполненная карточка запроса, допуск, ожидание результата</w:t>
            </w:r>
          </w:p>
        </w:tc>
      </w:tr>
      <w:tr>
        <w:tc>
          <w:tcPr>
            <w:tcW w:w="216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6" w14:textId="00100087">
            <w:r>
              <w:rPr>
                <w:sz w:val="18"/>
              </w:rPr>
              <w:t>Контроль смысла</w:t>
            </w:r>
          </w:p>
        </w:tc>
        <w:tc>
          <w:tcPr>
            <w:tcW w:w="345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8" w14:textId="00100089">
            <w:r>
              <w:rPr>
                <w:sz w:val="18"/>
              </w:rPr>
              <w:t>Не превращать CLM в общий консалтинг</w:t>
            </w:r>
          </w:p>
        </w:tc>
        <w:tc>
          <w:tcPr>
            <w:tcW w:w="432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A" w14:textId="0010008B">
            <w:r>
              <w:rPr>
                <w:sz w:val="18"/>
              </w:rPr>
              <w:t>Привязка к ролям, мандатам, решениям, данным, доверию, панели и артефактам</w:t>
            </w:r>
          </w:p>
        </w:tc>
      </w:tr>
      <w:tr>
        <w:tc>
          <w:tcPr>
            <w:tcW w:w="216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C" w14:textId="0010008D">
            <w:r>
              <w:rPr>
                <w:sz w:val="18"/>
              </w:rPr>
              <w:t>Контроль ручного ввода</w:t>
            </w:r>
          </w:p>
        </w:tc>
        <w:tc>
          <w:tcPr>
            <w:tcW w:w="345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E" w14:textId="0010008F">
            <w:r>
              <w:rPr>
                <w:sz w:val="18"/>
              </w:rPr>
              <w:t>Не плодить таблицы ради таблиц</w:t>
            </w:r>
          </w:p>
        </w:tc>
        <w:tc>
          <w:tcPr>
            <w:tcW w:w="432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0" w14:textId="00100091">
            <w:r>
              <w:rPr>
                <w:sz w:val="18"/>
              </w:rPr>
              <w:t>Каждый лист имеет назначение, подсказки и итоговое решение</w:t>
            </w:r>
          </w:p>
        </w:tc>
      </w:tr>
      <w:tr>
        <w:tc>
          <w:tcPr>
            <w:tcW w:w="216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2" w14:textId="00100093">
            <w:r>
              <w:rPr>
                <w:sz w:val="18"/>
              </w:rPr>
              <w:t>Контроль выхода</w:t>
            </w:r>
          </w:p>
        </w:tc>
        <w:tc>
          <w:tcPr>
            <w:tcW w:w="3456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4" w14:textId="00100095">
            <w:r>
              <w:rPr>
                <w:sz w:val="18"/>
              </w:rPr>
              <w:t>Не закрывать продукт без управленческого решения</w:t>
            </w:r>
          </w:p>
        </w:tc>
        <w:tc>
          <w:tcPr>
            <w:tcW w:w="432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6" w14:textId="00100097">
            <w:r>
              <w:rPr>
                <w:sz w:val="18"/>
              </w:rPr>
              <w:t>Вердикт, паспорт Спринта, реализованный проект или решение о следующем цикле</w:t>
            </w:r>
          </w:p>
        </w:tc>
      </w:tr>
    </w:tbl>
    <w:p w14:paraId="00100098" w14:textId="00100099">
      <w:pPr>
        <w:pStyle w:val="Heading1"/>
      </w:pPr>
      <w:r>
        <w:t>6. Ролевой контроль перед выпуском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c>
          <w:tcPr>
            <w:tcW w:w="259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9A" w14:textId="0010009B">
            <w:r>
              <w:rPr>
                <w:b/>
                <w:color w:val="FFFFFF"/>
                <w:sz w:val="18"/>
              </w:rPr>
              <w:t>Роль проверки</w:t>
            </w:r>
          </w:p>
        </w:tc>
        <w:tc>
          <w:tcPr>
            <w:tcW w:w="144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9C" w14:textId="0010009D">
            <w:r>
              <w:rPr>
                <w:b/>
                <w:color w:val="FFFFFF"/>
                <w:sz w:val="18"/>
              </w:rPr>
              <w:t>Вердикт</w:t>
            </w:r>
          </w:p>
        </w:tc>
        <w:tc>
          <w:tcPr>
            <w:tcW w:w="619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9E" w14:textId="0010009F"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A0" w14:textId="001000A1">
            <w:r>
              <w:rPr>
                <w:sz w:val="18"/>
              </w:rPr>
              <w:t>Архитектор CLM</w:t>
            </w:r>
          </w:p>
        </w:tc>
        <w:tc>
          <w:tcPr>
            <w:tcW w:w="144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A2" w14:textId="001000A3">
            <w:r>
              <w:rPr>
                <w:sz w:val="18"/>
              </w:rPr>
              <w:t>GO / запускать</w:t>
            </w:r>
          </w:p>
        </w:tc>
        <w:tc>
          <w:tcPr>
            <w:tcW w:w="61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A4" w14:textId="001000A5">
            <w:r>
              <w:rPr>
                <w:sz w:val="18"/>
              </w:rPr>
              <w:t>Продуктовый слой не ломает 12 блоков, а задает путь применения.</w:t>
            </w:r>
          </w:p>
        </w:tc>
      </w:tr>
      <w:tr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A6" w14:textId="001000A7">
            <w:r>
              <w:rPr>
                <w:sz w:val="18"/>
              </w:rPr>
              <w:t>Методолог-дедупликатор</w:t>
            </w:r>
          </w:p>
        </w:tc>
        <w:tc>
          <w:tcPr>
            <w:tcW w:w="144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A8" w14:textId="001000A9">
            <w:r>
              <w:rPr>
                <w:sz w:val="18"/>
              </w:rPr>
              <w:t>GO / запускать</w:t>
            </w:r>
          </w:p>
        </w:tc>
        <w:tc>
          <w:tcPr>
            <w:tcW w:w="61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AA" w14:textId="001000AB">
            <w:r>
              <w:rPr>
                <w:sz w:val="18"/>
              </w:rPr>
              <w:t>Смысл блоков не дублируется в продуктах, а используется как рабочий источник.</w:t>
            </w:r>
          </w:p>
        </w:tc>
      </w:tr>
      <w:tr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AC" w14:textId="001000AD">
            <w:r>
              <w:rPr>
                <w:sz w:val="18"/>
              </w:rPr>
              <w:t>XLSX-инженер</w:t>
            </w:r>
          </w:p>
        </w:tc>
        <w:tc>
          <w:tcPr>
            <w:tcW w:w="144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AE" w14:textId="001000AF">
            <w:r>
              <w:rPr>
                <w:sz w:val="18"/>
              </w:rPr>
              <w:t>GO / запускать</w:t>
            </w:r>
          </w:p>
        </w:tc>
        <w:tc>
          <w:tcPr>
            <w:tcW w:w="61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B0" w14:textId="001000B1">
            <w:r>
              <w:rPr>
                <w:sz w:val="18"/>
              </w:rPr>
              <w:t>Рабочие книги заданы как короткие управляемые формы, а не как огромные регистры.</w:t>
            </w:r>
          </w:p>
        </w:tc>
      </w:tr>
      <w:tr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B2" w14:textId="001000B3">
            <w:r>
              <w:rPr>
                <w:sz w:val="18"/>
              </w:rPr>
              <w:t>Редактор C-Level Insight</w:t>
            </w:r>
          </w:p>
        </w:tc>
        <w:tc>
          <w:tcPr>
            <w:tcW w:w="144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B4" w14:textId="001000B5">
            <w:r>
              <w:rPr>
                <w:sz w:val="18"/>
              </w:rPr>
              <w:t>GO / запускать</w:t>
            </w:r>
          </w:p>
        </w:tc>
        <w:tc>
          <w:tcPr>
            <w:tcW w:w="61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B6" w14:textId="001000B7">
            <w:r>
              <w:rPr>
                <w:sz w:val="18"/>
              </w:rPr>
              <w:t>Документы сделаны в единой структуре, с таблицами и схемами.</w:t>
            </w:r>
          </w:p>
        </w:tc>
      </w:tr>
      <w:tr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B8" w14:textId="001000B9">
            <w:r>
              <w:rPr>
                <w:sz w:val="18"/>
              </w:rPr>
              <w:t>Коммерческий внедренец</w:t>
            </w:r>
          </w:p>
        </w:tc>
        <w:tc>
          <w:tcPr>
            <w:tcW w:w="144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BA" w14:textId="001000BB">
            <w:r>
              <w:rPr>
                <w:sz w:val="18"/>
              </w:rPr>
              <w:t>GO / запускать</w:t>
            </w:r>
          </w:p>
        </w:tc>
        <w:tc>
          <w:tcPr>
            <w:tcW w:w="61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BC" w14:textId="001000BD">
            <w:r>
              <w:rPr>
                <w:sz w:val="18"/>
              </w:rPr>
              <w:t>Диагностика закреплена как платный фильтр, Сопровождение выстроено как логичный контроль результата.</w:t>
            </w:r>
          </w:p>
        </w:tc>
      </w:tr>
      <w:tr>
        <w:tc>
          <w:tcPr>
            <w:tcW w:w="25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BE" w14:textId="001000BF">
            <w:r>
              <w:rPr>
                <w:sz w:val="18"/>
              </w:rPr>
              <w:t>QA / контроль соответствия</w:t>
            </w:r>
          </w:p>
        </w:tc>
        <w:tc>
          <w:tcPr>
            <w:tcW w:w="144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C0" w14:textId="001000C1">
            <w:r>
              <w:rPr>
                <w:sz w:val="18"/>
              </w:rPr>
              <w:t>GO / запускать</w:t>
            </w:r>
          </w:p>
        </w:tc>
        <w:tc>
          <w:tcPr>
            <w:tcW w:w="619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C2" w14:textId="001000C3">
            <w:r>
              <w:rPr>
                <w:sz w:val="18"/>
              </w:rPr>
              <w:t>Для каждого продукта есть вход, выход, запреты перехода и контрольный артефакт.</w:t>
            </w:r>
          </w:p>
        </w:tc>
      </w:tr>
    </w:tbl>
    <w:sectPr w:rsidRPr="0006063C" w:rsidR="00FC693F" w:rsidSect="00034616">
      <w:headerReference w:type="default" r:id="rId11"/>
      <w:footerReference w:type="default" r:id="rId12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C6" w14:textId="001000C7"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C4" w14:textId="001000C5"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1F7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eastAsia="Arial" w:asciiTheme="majorHAnsi" w:hAnsiTheme="majorHAnsi" w:eastAsiaTheme="majorEastAsia" w:cstheme="majorBidi"/>
      <w:b/>
      <w:color w:val="16324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UD_PRODUCT_OPERATING_LAYER_V1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2026-10-12T13:42:26Z</vt:lpwstr>
  </op:property>
</op:Properties>
</file>