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c512c563b1d44b46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0100000" w14:textId="00100001">
      <w:pPr>
        <w:jc w:val="left"/>
      </w:pPr>
      <w:r>
        <w:rPr>
          <w:b/>
          <w:color w:val="1F7A8C"/>
          <w:sz w:val="20"/>
        </w:rPr>
        <w:t>Управление Директорами</w:t>
      </w:r>
    </w:p>
    <w:p w14:paraId="00100002" w14:textId="00100003">
      <w:r>
        <w:rPr>
          <w:rFonts w:ascii="Arial" w:hAnsi="Arial" w:eastAsia="Arial"/>
          <w:color w:val="4A5568"/>
          <w:sz w:val="18"/>
        </w:rPr>
        <w:t>Технологическая основа: CLM / C-Level Management / управление C-level-ядром.</w:t>
      </w:r>
    </w:p>
    <w:p w14:paraId="00100004" w14:textId="00100005">
      <w:pPr>
        <w:pStyle w:val="Title"/>
        <w:jc w:val="left"/>
      </w:pPr>
      <w:r>
        <w:t>Управление Директорами. Сессия</w:t>
      </w:r>
    </w:p>
    <w:p w14:paraId="00100006" w14:textId="00100007">
      <w:r>
        <w:rPr>
          <w:color w:val="4A5568"/>
          <w:sz w:val="24"/>
        </w:rPr>
        <w:t>Перевести выводы диагностики в ограниченный активный набор управленческих решений и паспорт Спринта.</w:t>
      </w:r>
    </w:p>
    <w:p w14:paraId="00100008" w14:textId="00100009">
      <w:r>
        <w:rPr>
          <w:rFonts w:ascii="Arial" w:hAnsi="Arial" w:eastAsia="Arial"/>
        </w:rPr>
        <w:t>Документ внутренний рабочий. Версия v1.</w:t>
      </w:r>
    </w:p>
    <w:p w14:paraId="0010000A" w14:textId="0010000B">
      <w:pPr>
        <w:pStyle w:val="Heading1"/>
      </w:pPr>
      <w:r>
        <w:t>1. Назначение продукта</w:t>
      </w:r>
    </w:p>
    <w:p w14:paraId="0010000C" w14:textId="0010000D">
      <w:r>
        <w:t>Сессия не является обсуждением всего найденного. Ее задача - выбрать, что реально делать дальше, кто владелец, какой эффект нужен, какой Спринт требуется и кто его реализует.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0368"/>
      </w:tblGrid>
      <w:tr>
        <w:tc>
          <w:tcPr>
            <w:tcW w:w="10368" w:type="dxa"/>
            <w:shd w:fill="E6F4F1"/>
            <w:tcBorders>
              <w:top w:val="single" w:color="B7D9D2" w:sz="6" w:space="0"/>
              <w:left w:val="single" w:color="B7D9D2" w:sz="6" w:space="0"/>
              <w:bottom w:val="single" w:color="B7D9D2" w:sz="6" w:space="0"/>
              <w:right w:val="single" w:color="B7D9D2" w:sz="6" w:space="0"/>
            </w:tcBorders>
          </w:tcPr>
          <w:p w14:paraId="0010000E" w14:textId="0010000F">
            <w:r/>
            <w:r>
              <w:rPr>
                <w:b/>
                <w:color w:val="16324F"/>
                <w:sz w:val="20"/>
              </w:rPr>
              <w:t>Рабочий принцип</w:t>
            </w:r>
          </w:p>
          <w:p w14:paraId="00100010" w14:textId="00100011">
            <w:r>
              <w:rPr>
                <w:sz w:val="18"/>
              </w:rPr>
              <w:t>Этот документ предназначен для внутренней работы консультанта. Цены не указываются: коммерческая сетка живет в отдельном файле с ценами и упаковкой.</w:t>
            </w:r>
          </w:p>
        </w:tc>
      </w:tr>
    </w:tbl>
    <w:p w14:paraId="00100012" w14:textId="00100013">
      <w:r>
        <w:drawing>
          <wp:inline xmlns:a="http://schemas.openxmlformats.org/drawingml/2006/main" xmlns:pic="http://schemas.openxmlformats.org/drawingml/2006/picture">
            <wp:extent cx="6583680" cy="228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ssion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22823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0100014" w14:textId="00100015">
      <w:pPr>
        <w:pStyle w:val="Heading1"/>
      </w:pPr>
      <w:r>
        <w:t>2. Вход и выход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6" w14:textId="00100017">
            <w:r>
              <w:rPr>
                <w:b/>
                <w:color w:val="FFFFFF"/>
                <w:sz w:val="18"/>
              </w:rPr>
              <w:t>Элемент</w:t>
            </w:r>
          </w:p>
        </w:tc>
        <w:tc>
          <w:tcPr>
            <w:tcW w:w="763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18" w14:textId="00100019">
            <w:r>
              <w:rPr>
                <w:b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A" w14:textId="0010001B">
            <w:r>
              <w:rPr>
                <w:sz w:val="18"/>
              </w:rPr>
              <w:t>Вход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C" w14:textId="0010009E">
            <w:pPr/>
            <w:r>
              <w:rPr>
                <w:sz w:val="18"/>
              </w:rPr>
              <w:t xml:space="preserve">Вердикт Диагностики GO либо GO при условиях после документального закрытия всех условий перехода; владелец запроса подтвержден.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1E" w14:textId="0010001F">
            <w:r>
              <w:rPr>
                <w:sz w:val="18"/>
              </w:rPr>
              <w:t>Выход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0" w14:textId="00100021">
            <w:r>
              <w:rPr>
                <w:sz w:val="18"/>
              </w:rPr>
              <w:t>Паспорт Спринта: активный набор решений, владельцы, условия запуска, условия остановки, ожидаемый результат.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2" w14:textId="00100023">
            <w:r>
              <w:rPr>
                <w:sz w:val="18"/>
              </w:rPr>
              <w:t>Ключевые блоки CLM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4" w14:textId="00100025">
            <w:r>
              <w:rPr>
                <w:sz w:val="18"/>
              </w:rPr>
              <w:t>2-6 обязательно по смыслу; 7-10 как проверка рисков, AI / ИИ, панели и измеримости; 11 как проектирование Спринта.</w:t>
            </w:r>
          </w:p>
        </w:tc>
      </w:tr>
      <w:tr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6" w14:textId="00100027">
            <w:r>
              <w:rPr>
                <w:sz w:val="18"/>
              </w:rPr>
              <w:t>Главный риск</w:t>
            </w:r>
          </w:p>
        </w:tc>
        <w:tc>
          <w:tcPr>
            <w:tcW w:w="763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28" w14:textId="00100029">
            <w:r>
              <w:rPr>
                <w:sz w:val="18"/>
              </w:rPr>
              <w:t>Главный риск - уйти в стратегическую сессию без обязательств, сроков, владельцев и критерия результата.</w:t>
            </w:r>
          </w:p>
        </w:tc>
      </w:tr>
    </w:tbl>
    <w:p w14:paraId="0010002A" w14:textId="0010002B">
      <w:pPr>
        <w:pStyle w:val="Heading1"/>
      </w:pPr>
      <w:r>
        <w:t>3. Рабочая последовательность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>
        <w:tc>
          <w:tcPr>
            <w:tcW w:w="6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C" w14:textId="0010002D">
            <w:r>
              <w:rPr>
                <w:b/>
                <w:color w:val="FFFFFF"/>
                <w:sz w:val="18"/>
              </w:rPr>
              <w:t>Шаг</w:t>
            </w:r>
          </w:p>
        </w:tc>
        <w:tc>
          <w:tcPr>
            <w:tcW w:w="230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2E" w14:textId="0010002F"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w="4464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0" w14:textId="00100031">
            <w:r>
              <w:rPr>
                <w:b/>
                <w:color w:val="FFFFFF"/>
                <w:sz w:val="18"/>
              </w:rPr>
              <w:t>Зачем</w:t>
            </w:r>
          </w:p>
        </w:tc>
        <w:tc>
          <w:tcPr>
            <w:tcW w:w="244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32" w14:textId="00100033">
            <w:r>
              <w:rPr>
                <w:b/>
                <w:color w:val="FFFFFF"/>
                <w:sz w:val="18"/>
              </w:rPr>
              <w:t>Артефакт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4" w14:textId="00100035">
            <w:r>
              <w:rPr>
                <w:sz w:val="18"/>
              </w:rPr>
              <w:t>1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6" w14:textId="00100037">
            <w:r>
              <w:rPr>
                <w:sz w:val="18"/>
              </w:rPr>
              <w:t>Взять только подтвержденные разрывы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8" w14:textId="00100039">
            <w:r>
              <w:rPr>
                <w:sz w:val="18"/>
              </w:rPr>
              <w:t>Не открывать заново весь объем диагностики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A" w14:textId="0010003B">
            <w:r>
              <w:rPr>
                <w:sz w:val="18"/>
              </w:rPr>
              <w:t>Сводка диагностики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C" w14:textId="0010003D">
            <w:r>
              <w:rPr>
                <w:sz w:val="18"/>
              </w:rPr>
              <w:t>2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3E" w14:textId="0010003F">
            <w:r>
              <w:rPr>
                <w:sz w:val="18"/>
              </w:rPr>
              <w:t>Собрать активный набор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0" w14:textId="00100041">
            <w:r>
              <w:rPr>
                <w:sz w:val="18"/>
              </w:rPr>
              <w:t>Оставить только решения с владельцем и эффектом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2" w14:textId="00100043">
            <w:r>
              <w:rPr>
                <w:sz w:val="18"/>
              </w:rPr>
              <w:t>Матрица активного набора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4" w14:textId="00100045">
            <w:r>
              <w:rPr>
                <w:sz w:val="18"/>
              </w:rPr>
              <w:t>3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6" w14:textId="00100047">
            <w:r>
              <w:rPr>
                <w:sz w:val="18"/>
              </w:rPr>
              <w:t>Назначить владельцев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8" w14:textId="00100049">
            <w:r>
              <w:rPr>
                <w:sz w:val="18"/>
              </w:rPr>
              <w:t>Развести владельца эффекта, решения, данных, риска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A" w14:textId="0010004B">
            <w:r>
              <w:rPr>
                <w:sz w:val="18"/>
              </w:rPr>
              <w:t>Матрица владельцев</w:t>
            </w:r>
          </w:p>
        </w:tc>
      </w:tr>
      <w:tr>
        <w:tc>
          <w:tcPr>
            <w:tcW w:w="6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C" w14:textId="0010004D">
            <w:r>
              <w:rPr>
                <w:sz w:val="18"/>
              </w:rPr>
              <w:t>4</w:t>
            </w:r>
          </w:p>
        </w:tc>
        <w:tc>
          <w:tcPr>
            <w:tcW w:w="230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4E" w14:textId="0010004F">
            <w:r>
              <w:rPr>
                <w:sz w:val="18"/>
              </w:rPr>
              <w:t>Оформить Спринт</w:t>
            </w:r>
          </w:p>
        </w:tc>
        <w:tc>
          <w:tcPr>
            <w:tcW w:w="4464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0" w14:textId="00100051">
            <w:r>
              <w:rPr>
                <w:sz w:val="18"/>
              </w:rPr>
              <w:t>Превратить решения в реализуемый проект</w:t>
            </w:r>
          </w:p>
        </w:tc>
        <w:tc>
          <w:tcPr>
            <w:tcW w:w="244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2" w14:textId="00100053">
            <w:r>
              <w:rPr>
                <w:sz w:val="18"/>
              </w:rPr>
              <w:t>Паспорт Спринта</w:t>
            </w:r>
          </w:p>
        </w:tc>
      </w:tr>
    </w:tbl>
    <w:p w14:paraId="00100054" w14:textId="00100055">
      <w:pPr>
        <w:pStyle w:val="Heading1"/>
      </w:pPr>
      <w:r>
        <w:t>4. Что заполняется в XLSX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16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6" w14:textId="00100057">
            <w:r>
              <w:rPr>
                <w:b/>
                <w:color w:val="FFFFFF"/>
                <w:sz w:val="18"/>
              </w:rPr>
              <w:t>Лист</w:t>
            </w:r>
          </w:p>
        </w:tc>
        <w:tc>
          <w:tcPr>
            <w:tcW w:w="691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58" w14:textId="00100059"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A" w14:textId="0010005B">
            <w:r>
              <w:rPr>
                <w:sz w:val="18"/>
              </w:rPr>
              <w:t>00 Индекс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C" w14:textId="0010005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5E" w14:textId="0010005F">
            <w:r>
              <w:rPr>
                <w:sz w:val="18"/>
              </w:rPr>
              <w:t>01 Активный набор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0" w14:textId="00100061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2" w14:textId="00100063">
            <w:r>
              <w:rPr>
                <w:sz w:val="18"/>
              </w:rPr>
              <w:t>02 Решения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4" w14:textId="00100065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6" w14:textId="00100067">
            <w:r>
              <w:rPr>
                <w:sz w:val="18"/>
              </w:rPr>
              <w:t>03 Владельцы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8" w14:textId="00100069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  <w:tr>
        <w:tc>
          <w:tcPr>
            <w:tcW w:w="316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A" w14:textId="0010006B">
            <w:r>
              <w:rPr>
                <w:sz w:val="18"/>
              </w:rPr>
              <w:t>04 Паспорт спринта</w:t>
            </w:r>
          </w:p>
        </w:tc>
        <w:tc>
          <w:tcPr>
            <w:tcW w:w="691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6C" w14:textId="0010006D">
            <w:r>
              <w:rPr>
                <w:sz w:val="18"/>
              </w:rPr>
              <w:t>Рабочий лист продукта. Заполняется только если нужен для решения, а не ради полноты.</w:t>
            </w:r>
          </w:p>
        </w:tc>
      </w:tr>
    </w:tbl>
    <w:p w14:paraId="0010006E" w14:textId="0010006F">
      <w:pPr>
        <w:pStyle w:val="Heading1"/>
      </w:pPr>
      <w:r>
        <w:t>5. Стоп-факторы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360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0" w14:textId="00100071">
            <w:r>
              <w:rPr>
                <w:b/>
                <w:color w:val="FFFFFF"/>
                <w:sz w:val="18"/>
              </w:rPr>
              <w:t>Стоп-фактор</w:t>
            </w:r>
          </w:p>
        </w:tc>
        <w:tc>
          <w:tcPr>
            <w:tcW w:w="6480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72" w14:textId="00100073"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4" w14:textId="00100075">
            <w:r>
              <w:rPr>
                <w:sz w:val="18"/>
              </w:rPr>
              <w:t>Нет владельца запроса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6" w14:textId="00100077">
            <w:r>
              <w:rPr>
                <w:sz w:val="18"/>
              </w:rPr>
              <w:t>Остановить работу до назначения владельца.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8" w14:textId="00100079">
            <w:r>
              <w:rPr>
                <w:sz w:val="18"/>
              </w:rPr>
              <w:t>Нет права на честный вывод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A" w14:textId="0010007B">
            <w:r>
              <w:rPr>
                <w:sz w:val="18"/>
              </w:rPr>
              <w:t>Не начинать продукт, потому что результат будет политически безопасным, но бесполезным.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C" w14:textId="0010007D">
            <w:r>
              <w:rPr>
                <w:sz w:val="18"/>
              </w:rPr>
              <w:t>Нет фактов, только мнения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7E" w14:textId="0010007F">
            <w:r>
              <w:rPr>
                <w:sz w:val="18"/>
              </w:rPr>
              <w:t>Снизить уровень вывода до гипотезы и запросить подтверждение.</w:t>
            </w:r>
          </w:p>
        </w:tc>
      </w:tr>
      <w:tr>
        <w:tc>
          <w:tcPr>
            <w:tcW w:w="360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0" w14:textId="00100081">
            <w:r>
              <w:rPr>
                <w:sz w:val="18"/>
              </w:rPr>
              <w:t>Клиент требует пропустить обязательный шаг</w:t>
            </w:r>
          </w:p>
        </w:tc>
        <w:tc>
          <w:tcPr>
            <w:tcW w:w="6480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2" w14:textId="00100083">
            <w:r>
              <w:rPr>
                <w:sz w:val="18"/>
              </w:rPr>
              <w:t>Зафиксировать риск и не продавать следующий продукт как полноценный.</w:t>
            </w:r>
          </w:p>
        </w:tc>
      </w:tr>
    </w:tbl>
    <w:p w14:paraId="00100084" w14:textId="00100085">
      <w:pPr>
        <w:pStyle w:val="Heading1"/>
      </w:pPr>
      <w:r>
        <w:t>6. Проверка перед закрытием продукта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>
        <w:tc>
          <w:tcPr>
            <w:tcW w:w="4608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6" w14:textId="00100087">
            <w:r>
              <w:rPr>
                <w:b/>
                <w:color w:val="FFFFFF"/>
                <w:sz w:val="18"/>
              </w:rPr>
              <w:t>Вопрос</w:t>
            </w:r>
          </w:p>
        </w:tc>
        <w:tc>
          <w:tcPr>
            <w:tcW w:w="5472" w:type="dxa"/>
            <w:shd w:fill="16324F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</w:tcPr>
          <w:p w14:paraId="00100088" w14:textId="00100089">
            <w:r>
              <w:rPr>
                <w:b/>
                <w:color w:val="FFFFFF"/>
                <w:sz w:val="18"/>
              </w:rPr>
              <w:t>Ответ должен быть виден в документах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A" w14:textId="0010008B">
            <w:r>
              <w:rPr>
                <w:sz w:val="18"/>
              </w:rPr>
              <w:t>Какой управленческий разрыв был решен или проверен?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C" w14:textId="0010008D">
            <w:r>
              <w:rPr>
                <w:sz w:val="18"/>
              </w:rPr>
              <w:t>Да, есть конкретная формулировка.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8E" w14:textId="0010008F">
            <w:r>
              <w:rPr>
                <w:sz w:val="18"/>
              </w:rPr>
              <w:t>Кто владелец следующего действия?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0" w14:textId="00100091">
            <w:r>
              <w:rPr>
                <w:sz w:val="18"/>
              </w:rPr>
              <w:t>Да, указан человек или роль, а не абстрактная функция.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2" w14:textId="00100093">
            <w:r>
              <w:rPr>
                <w:sz w:val="18"/>
              </w:rPr>
              <w:t>Какой документ является итогом?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4" w14:textId="00100095">
            <w:r>
              <w:rPr>
                <w:sz w:val="18"/>
              </w:rPr>
              <w:t>Да, итоговый артефакт создан и связан с XLSX.</w:t>
            </w:r>
          </w:p>
        </w:tc>
      </w:tr>
      <w:tr>
        <w:tc>
          <w:tcPr>
            <w:tcW w:w="4608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6" w14:textId="00100097">
            <w:r>
              <w:rPr>
                <w:sz w:val="18"/>
              </w:rPr>
              <w:t>Можно ли показать клиенту пользу без объяснения всей CLM?</w:t>
            </w:r>
          </w:p>
        </w:tc>
        <w:tc>
          <w:tcPr>
            <w:tcW w:w="5472" w:type="dxa"/>
            <w:tcBorders>
              <w:top w:val="single" w:color="CBD5E0" w:sz="6" w:space="0"/>
              <w:left w:val="single" w:color="CBD5E0" w:sz="6" w:space="0"/>
              <w:bottom w:val="single" w:color="CBD5E0" w:sz="6" w:space="0"/>
              <w:right w:val="single" w:color="CBD5E0" w:sz="6" w:space="0"/>
            </w:tcBorders>
            <w:vAlign w:val="top"/>
          </w:tcPr>
          <w:p w14:paraId="00100098" w14:textId="00100099">
            <w:r>
              <w:rPr>
                <w:sz w:val="18"/>
              </w:rPr>
              <w:t>Да, результат понятен на языке бизнеса.</w:t>
            </w:r>
          </w:p>
        </w:tc>
      </w:tr>
    </w:tbl>
    <w:p w14:paraId="0010009F" w14:textId="001000A0">
      <w:pPr>
        <w:pStyle w:val="Heading2"/>
        <w:keepNext/>
      </w:pPr>
      <w:r>
        <w:rPr/>
        <w:t xml:space="preserve">7. Нормативный переход продукта</w:t>
      </w:r>
    </w:p>
    <w:p w14:paraId="001000A1" w14:textId="001000A2">
      <w:pPr>
        <w:numPr>
          <w:ilvl w:val="0"/>
          <w:numId w:val="10"/>
        </w:numPr>
      </w:pPr>
      <w:r>
        <w:t>Паспорт Спринта полный и утвержден: заказчик выбирает Спринт с консультантом либо самостоятельную реализацию по Паспорту.</w:t>
      </w:r>
    </w:p>
    <w:p w14:paraId="001000A3" w14:textId="001000A4">
      <w:pPr>
        <w:numPr>
          <w:ilvl w:val="0"/>
          <w:numId w:val="10"/>
        </w:numPr>
      </w:pPr>
      <w:r>
        <w:rPr/>
        <w:t xml:space="preserve">Паспорт неполный или условия не закрыты: остаться в Сессии и доработать.</w:t>
      </w:r>
    </w:p>
    <w:p w14:paraId="001000A5" w14:textId="001000A6">
      <w:pPr>
        <w:numPr>
          <w:ilvl w:val="0"/>
          <w:numId w:val="10"/>
        </w:numPr>
      </w:pPr>
      <w:r>
        <w:rPr/>
        <w:t xml:space="preserve">Нет владельца эффекта, решения или данных, либо обязательный блокер не снят: STOP.</w:t>
      </w:r>
    </w:p>
    <w:p w14:paraId="001000A7" w14:textId="001000A8">
      <w:pPr>
        <w:numPr>
          <w:ilvl w:val="0"/>
          <w:numId w:val="10"/>
        </w:numPr>
      </w:pPr>
      <w:r>
        <w:t>Самостоятельная реализация завершает текущий консультационный цикл на Сессии. Прямой переход из Сессии в Сопровождение запрещен: Сопровождение открывается только после подтвержденного внедрения результата Спринта.</w:t>
      </w:r>
    </w:p>
    <w:sectPr w:rsidRPr="0006063C" w:rsidR="00FC693F" w:rsidSect="00034616">
      <w:headerReference w:type="default" r:id="rId10"/>
      <w:footerReference w:type="default" r:id="rId11"/>
      <w:pgSz w:w="12240" w:h="15840"/>
      <w:pgMar w:top="864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9C" w14:textId="0010009D">
    <w:pPr>
      <w:pStyle w:val="Footer"/>
    </w:pPr>
    <w:r>
      <w:rPr>
        <w:rFonts w:ascii="Arial" w:hAnsi="Arial" w:eastAsia="Arial"/>
      </w:rPr>
      <w:t>Технологическая основа: CLM / C-Level Management / управление C-level-ядром.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w14:paraId="0010009A" w14:textId="0010009B">
    <w:pPr>
      <w:pStyle w:val="Header"/>
    </w:pPr>
    <w:r>
      <w:rPr>
        <w:rFonts w:ascii="Arial" w:hAnsi="Arial" w:eastAsia="Arial"/>
      </w:rPr>
      <w:t>Управление Директорами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 w:asciiTheme="majorHAnsi" w:hAnsiTheme="majorHAnsi" w:eastAsiaTheme="majorEastAsia" w:cstheme="majorBidi"/>
      <w:b/>
      <w:bCs/>
      <w:color w:val="1632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 w:asciiTheme="majorHAnsi" w:hAnsiTheme="majorHAnsi" w:eastAsiaTheme="majorEastAsia" w:cstheme="majorBidi"/>
      <w:b/>
      <w:bCs/>
      <w:color w:val="1F7A8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Arial" w:hAnsi="Arial" w:eastAsia="Arial"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="Arial" w:hAnsi="Arial" w:eastAsia="Arial" w:asciiTheme="majorHAnsi" w:hAnsiTheme="majorHAnsi" w:eastAsiaTheme="majorEastAsia" w:cstheme="majorBidi"/>
      <w:b/>
      <w:color w:val="16324F"/>
      <w:spacing w:val="5"/>
      <w:kern w:val="28"/>
      <w:sz w:val="48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Директорами — UD_PRODUCT_02_SESSION_INTERNAL_WORK_PROTOCOL_V1</dc:title>
  <dc:subject>Технологическая основа: CLM / C-Level Management / управление C-level-ядром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1.0.156</vt:lpwstr>
  </op:property>
  <op:property fmtid="{D5CDD505-2E9C-101B-9397-08002B2CF9AE}" pid="3" name="OfficeCLI.LastModified">
    <vt:lpwstr xmlns:vt="http://schemas.openxmlformats.org/officeDocument/2006/docPropsVTypes">2026-10-12T13:42:28Z</vt:lpwstr>
  </op:property>
</op:Properties>
</file>